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AA253" w14:textId="7B06FBD1" w:rsidR="00AC614D" w:rsidRPr="000B2C76" w:rsidRDefault="00AC614D" w:rsidP="0003006E">
      <w:pPr>
        <w:rPr>
          <w:i/>
          <w:iCs/>
          <w:lang w:val="en-US"/>
        </w:rPr>
      </w:pPr>
    </w:p>
    <w:p w14:paraId="5FFDC9C6" w14:textId="77777777" w:rsidR="000B2C76" w:rsidRDefault="000B2C76" w:rsidP="0003006E">
      <w:pPr>
        <w:rPr>
          <w:i/>
          <w:iCs/>
          <w:lang w:val="en-US"/>
        </w:rPr>
      </w:pPr>
    </w:p>
    <w:p w14:paraId="7C757410" w14:textId="77777777" w:rsidR="000B2C76" w:rsidRDefault="000B2C76" w:rsidP="0003006E">
      <w:pPr>
        <w:rPr>
          <w:i/>
          <w:iCs/>
          <w:lang w:val="en-US"/>
        </w:rPr>
      </w:pPr>
    </w:p>
    <w:p w14:paraId="5A716F8A" w14:textId="77777777" w:rsidR="007B42B5" w:rsidRDefault="007B42B5" w:rsidP="007B42B5">
      <w:pPr>
        <w:jc w:val="center"/>
        <w:rPr>
          <w:lang w:val="en-US"/>
        </w:rPr>
      </w:pPr>
    </w:p>
    <w:p w14:paraId="5F9DC62D" w14:textId="77777777" w:rsidR="007B42B5" w:rsidRDefault="007B42B5" w:rsidP="007B42B5">
      <w:pPr>
        <w:jc w:val="center"/>
        <w:rPr>
          <w:lang w:val="en-US"/>
        </w:rPr>
      </w:pPr>
      <w:r>
        <w:rPr>
          <w:lang w:val="en-US"/>
        </w:rPr>
        <w:t>Eric Ketelaar</w:t>
      </w:r>
    </w:p>
    <w:p w14:paraId="2462F37F" w14:textId="77777777" w:rsidR="007B42B5" w:rsidRDefault="007B42B5" w:rsidP="007B42B5">
      <w:pPr>
        <w:jc w:val="center"/>
        <w:rPr>
          <w:lang w:val="en-US"/>
        </w:rPr>
      </w:pPr>
    </w:p>
    <w:p w14:paraId="052A85D0" w14:textId="4EB78F6F" w:rsidR="007B42B5" w:rsidRPr="007B42B5" w:rsidRDefault="00431371" w:rsidP="007B42B5">
      <w:pPr>
        <w:jc w:val="center"/>
        <w:rPr>
          <w:sz w:val="24"/>
          <w:szCs w:val="24"/>
          <w:lang w:val="en-US"/>
        </w:rPr>
      </w:pPr>
      <w:r>
        <w:rPr>
          <w:sz w:val="24"/>
          <w:szCs w:val="24"/>
          <w:lang w:val="en-US"/>
        </w:rPr>
        <w:t>Fifteen years a</w:t>
      </w:r>
      <w:r w:rsidR="007B42B5" w:rsidRPr="007B42B5">
        <w:rPr>
          <w:sz w:val="24"/>
          <w:szCs w:val="24"/>
          <w:lang w:val="en-US"/>
        </w:rPr>
        <w:t xml:space="preserve">fter </w:t>
      </w:r>
      <w:r w:rsidR="00466B1A">
        <w:rPr>
          <w:sz w:val="24"/>
          <w:szCs w:val="24"/>
          <w:lang w:val="en-US"/>
        </w:rPr>
        <w:t>‘</w:t>
      </w:r>
      <w:r w:rsidR="007B42B5" w:rsidRPr="007B42B5">
        <w:rPr>
          <w:sz w:val="24"/>
          <w:szCs w:val="24"/>
          <w:lang w:val="en-US"/>
        </w:rPr>
        <w:t>The Genealogical Gaze</w:t>
      </w:r>
      <w:r w:rsidR="00466B1A">
        <w:rPr>
          <w:sz w:val="24"/>
          <w:szCs w:val="24"/>
          <w:lang w:val="en-US"/>
        </w:rPr>
        <w:t>’</w:t>
      </w:r>
      <w:r w:rsidR="00916C7E">
        <w:rPr>
          <w:sz w:val="24"/>
          <w:szCs w:val="24"/>
          <w:lang w:val="en-US"/>
        </w:rPr>
        <w:t>.</w:t>
      </w:r>
    </w:p>
    <w:p w14:paraId="285E7BD1" w14:textId="77777777" w:rsidR="007B42B5" w:rsidRPr="007B42B5" w:rsidRDefault="007B42B5" w:rsidP="007B42B5">
      <w:pPr>
        <w:jc w:val="center"/>
        <w:rPr>
          <w:sz w:val="24"/>
          <w:szCs w:val="24"/>
          <w:lang w:val="en-US"/>
        </w:rPr>
      </w:pPr>
    </w:p>
    <w:p w14:paraId="4F0C0342" w14:textId="0F64CFE3" w:rsidR="00686023" w:rsidRPr="007B42B5" w:rsidRDefault="007B42B5" w:rsidP="007B42B5">
      <w:pPr>
        <w:jc w:val="center"/>
        <w:rPr>
          <w:sz w:val="24"/>
          <w:szCs w:val="24"/>
          <w:lang w:val="en-US"/>
        </w:rPr>
      </w:pPr>
      <w:r w:rsidRPr="007B42B5">
        <w:rPr>
          <w:sz w:val="24"/>
          <w:szCs w:val="24"/>
          <w:lang w:val="en-US"/>
        </w:rPr>
        <w:t>Constructing family archives</w:t>
      </w:r>
      <w:r w:rsidR="00686023">
        <w:rPr>
          <w:rStyle w:val="Eindnootmarkering"/>
          <w:sz w:val="24"/>
          <w:szCs w:val="24"/>
          <w:lang w:val="en-US"/>
        </w:rPr>
        <w:endnoteReference w:id="1"/>
      </w:r>
    </w:p>
    <w:p w14:paraId="0BE43272" w14:textId="77777777" w:rsidR="00686023" w:rsidRDefault="00686023" w:rsidP="007B42B5">
      <w:pPr>
        <w:jc w:val="center"/>
        <w:rPr>
          <w:lang w:val="en-US"/>
        </w:rPr>
      </w:pPr>
    </w:p>
    <w:p w14:paraId="64E49EA3" w14:textId="77777777" w:rsidR="00633431" w:rsidRPr="00633431" w:rsidRDefault="00633431" w:rsidP="00633431">
      <w:pPr>
        <w:rPr>
          <w:u w:val="single"/>
          <w:lang w:val="en-US"/>
        </w:rPr>
      </w:pPr>
      <w:hyperlink r:id="rId8" w:history="1">
        <w:r w:rsidRPr="00633431">
          <w:rPr>
            <w:rStyle w:val="Hyperlink"/>
            <w:lang w:val="en-US"/>
          </w:rPr>
          <w:t>https://prat</w:t>
        </w:r>
        <w:r w:rsidRPr="00633431">
          <w:rPr>
            <w:rStyle w:val="Hyperlink"/>
            <w:lang w:val="en-US"/>
          </w:rPr>
          <w:t>i</w:t>
        </w:r>
        <w:r w:rsidRPr="00633431">
          <w:rPr>
            <w:rStyle w:val="Hyperlink"/>
            <w:lang w:val="en-US"/>
          </w:rPr>
          <w:t>casdahistoria.pt/article/view/45614/31617</w:t>
        </w:r>
      </w:hyperlink>
      <w:r w:rsidRPr="00633431">
        <w:rPr>
          <w:u w:val="single"/>
          <w:lang w:val="en-US"/>
        </w:rPr>
        <w:t xml:space="preserve"> </w:t>
      </w:r>
    </w:p>
    <w:p w14:paraId="6F8A85F0" w14:textId="77777777" w:rsidR="00633431" w:rsidRDefault="00633431" w:rsidP="000B3570">
      <w:pPr>
        <w:rPr>
          <w:u w:val="single"/>
          <w:lang w:val="en-US"/>
        </w:rPr>
      </w:pPr>
    </w:p>
    <w:p w14:paraId="535AB7E2" w14:textId="77777777" w:rsidR="00633431" w:rsidRDefault="00633431" w:rsidP="000B3570">
      <w:pPr>
        <w:rPr>
          <w:u w:val="single"/>
          <w:lang w:val="en-US"/>
        </w:rPr>
      </w:pPr>
    </w:p>
    <w:p w14:paraId="3E3F0A9A" w14:textId="30414758" w:rsidR="00686023" w:rsidRDefault="00686023" w:rsidP="000B3570">
      <w:pPr>
        <w:rPr>
          <w:u w:val="single"/>
          <w:lang w:val="en-US"/>
        </w:rPr>
      </w:pPr>
      <w:r>
        <w:rPr>
          <w:u w:val="single"/>
          <w:lang w:val="en-US"/>
        </w:rPr>
        <w:t>Abstract</w:t>
      </w:r>
    </w:p>
    <w:p w14:paraId="7B4788B1" w14:textId="77777777" w:rsidR="00686023" w:rsidRDefault="00686023" w:rsidP="000B3570">
      <w:pPr>
        <w:rPr>
          <w:i/>
          <w:iCs/>
          <w:lang w:val="en-US"/>
        </w:rPr>
      </w:pPr>
    </w:p>
    <w:p w14:paraId="4715E827" w14:textId="31E66F92" w:rsidR="00686023" w:rsidRDefault="00686023" w:rsidP="000B3570">
      <w:pPr>
        <w:rPr>
          <w:u w:val="single"/>
          <w:lang w:val="en-US"/>
        </w:rPr>
      </w:pPr>
      <w:r w:rsidRPr="001F1DE2">
        <w:rPr>
          <w:i/>
          <w:iCs/>
          <w:lang w:val="en-US"/>
        </w:rPr>
        <w:t xml:space="preserve">The Genealogical Gaze: Family Identities and Family Archives in the Fourteenth to Seventeenth Centuries </w:t>
      </w:r>
      <w:r w:rsidRPr="001F1DE2">
        <w:rPr>
          <w:lang w:val="en-US"/>
        </w:rPr>
        <w:t>was the title of a paper published in 2009</w:t>
      </w:r>
      <w:r>
        <w:rPr>
          <w:lang w:val="en-US"/>
        </w:rPr>
        <w:t>.</w:t>
      </w:r>
      <w:r w:rsidRPr="001F1DE2">
        <w:rPr>
          <w:lang w:val="en-US"/>
        </w:rPr>
        <w:t xml:space="preserve"> I</w:t>
      </w:r>
      <w:r>
        <w:rPr>
          <w:lang w:val="en-US"/>
        </w:rPr>
        <w:t>n that paper I</w:t>
      </w:r>
      <w:r w:rsidRPr="001F1DE2">
        <w:rPr>
          <w:lang w:val="en-US"/>
        </w:rPr>
        <w:t xml:space="preserve"> argued that in Renaissance Florence, early modern England, and the Netherlands in the Golden Age, from the fourteenth century on, the </w:t>
      </w:r>
      <w:r>
        <w:rPr>
          <w:lang w:val="en-US"/>
        </w:rPr>
        <w:t>‘</w:t>
      </w:r>
      <w:r w:rsidRPr="001F1DE2">
        <w:rPr>
          <w:lang w:val="en-US"/>
        </w:rPr>
        <w:t>genealogical gaze</w:t>
      </w:r>
      <w:r>
        <w:rPr>
          <w:lang w:val="en-US"/>
        </w:rPr>
        <w:t>’</w:t>
      </w:r>
      <w:r w:rsidRPr="001F1DE2">
        <w:rPr>
          <w:lang w:val="en-US"/>
        </w:rPr>
        <w:t xml:space="preserve"> transfigured family archives into a cultural patrimony to be preserved, expanded, and transferred to future generations.</w:t>
      </w:r>
    </w:p>
    <w:p w14:paraId="404F9571" w14:textId="42A2BAEB" w:rsidR="00686023" w:rsidRDefault="00686023" w:rsidP="00482953">
      <w:pPr>
        <w:pStyle w:val="Eindnoottekst"/>
        <w:rPr>
          <w:u w:val="single"/>
          <w:lang w:val="en-US"/>
        </w:rPr>
      </w:pPr>
      <w:r>
        <w:rPr>
          <w:rFonts w:eastAsiaTheme="minorHAnsi" w:cs="ITCGaramondStd-Bk"/>
          <w:lang w:val="en-US" w:eastAsia="en-US"/>
        </w:rPr>
        <w:t xml:space="preserve">In the same year my paper appeared, Maria de Lurdes Rosa welcomed it as </w:t>
      </w:r>
      <w:r>
        <w:rPr>
          <w:lang w:val="en-US"/>
        </w:rPr>
        <w:t>‘</w:t>
      </w:r>
      <w:r w:rsidRPr="001F1DE2">
        <w:rPr>
          <w:lang w:val="en-US"/>
        </w:rPr>
        <w:t>part of a wider investigation into the birth of the patrimonial conception of archives, the most recent continuation of which was the investigation into the occurrence of that conception precisely in family archives.</w:t>
      </w:r>
      <w:r>
        <w:rPr>
          <w:lang w:val="en-US"/>
        </w:rPr>
        <w:t xml:space="preserve">’ Fifteen years later, Maria asked me to review the short history of the concept of the ‘genealogical gaze’. After that review, </w:t>
      </w:r>
      <w:r>
        <w:rPr>
          <w:lang w:val="en-GB"/>
        </w:rPr>
        <w:t>I suggest some topics and recent methodologies which might enrich our understanding of family archives, past and present.</w:t>
      </w:r>
      <w:r>
        <w:rPr>
          <w:lang w:val="en-US"/>
        </w:rPr>
        <w:t xml:space="preserve"> </w:t>
      </w:r>
    </w:p>
    <w:p w14:paraId="4B79CE09" w14:textId="77777777" w:rsidR="00686023" w:rsidRDefault="00686023" w:rsidP="000B3570">
      <w:pPr>
        <w:rPr>
          <w:u w:val="single"/>
          <w:lang w:val="en-US"/>
        </w:rPr>
      </w:pPr>
    </w:p>
    <w:p w14:paraId="7E057F25" w14:textId="77777777" w:rsidR="00A35624" w:rsidRPr="00A35624" w:rsidRDefault="00A35624" w:rsidP="00A35624">
      <w:pPr>
        <w:rPr>
          <w:u w:val="single"/>
          <w:lang w:val="fr-FR"/>
        </w:rPr>
      </w:pPr>
      <w:r w:rsidRPr="00A35624">
        <w:rPr>
          <w:u w:val="single"/>
          <w:lang w:val="fr-FR"/>
        </w:rPr>
        <w:t>Résumé</w:t>
      </w:r>
    </w:p>
    <w:p w14:paraId="33EBAFEB" w14:textId="77777777" w:rsidR="00A35624" w:rsidRPr="00A35624" w:rsidRDefault="00A35624" w:rsidP="00A35624">
      <w:pPr>
        <w:rPr>
          <w:lang w:val="fr-FR"/>
        </w:rPr>
      </w:pPr>
    </w:p>
    <w:p w14:paraId="73C89F69" w14:textId="77777777" w:rsidR="00A35624" w:rsidRPr="00A35624" w:rsidRDefault="00A35624" w:rsidP="00A35624">
      <w:pPr>
        <w:rPr>
          <w:lang w:val="fr-FR"/>
        </w:rPr>
      </w:pPr>
      <w:r w:rsidRPr="00A35624">
        <w:rPr>
          <w:lang w:val="fr-FR"/>
        </w:rPr>
        <w:t>« Le regard généalogique : identités et archives familiales du XIVe au XVIIe siècle » était le titre d'un article paru en 2009. J'y défendais l'idée qu'à Florence à la Renaissance, en Angleterre au début de l'époque moderne et aux Pays-Bas au Siècle d'or, à partir du XIVe siècle, le « regard généalogique » a transformé les archives familiales en un patrimoine culturel à préserver, à enrichir et à transmettre aux générations futures.</w:t>
      </w:r>
    </w:p>
    <w:p w14:paraId="72988590" w14:textId="77777777" w:rsidR="00A35624" w:rsidRPr="00A35624" w:rsidRDefault="00A35624" w:rsidP="00A35624">
      <w:pPr>
        <w:rPr>
          <w:lang w:val="fr-FR"/>
        </w:rPr>
      </w:pPr>
    </w:p>
    <w:p w14:paraId="11981559" w14:textId="6048E06B" w:rsidR="00686023" w:rsidRPr="00A35624" w:rsidRDefault="00A35624" w:rsidP="00A35624">
      <w:pPr>
        <w:rPr>
          <w:lang w:val="fr-FR"/>
        </w:rPr>
      </w:pPr>
      <w:r w:rsidRPr="00A35624">
        <w:rPr>
          <w:lang w:val="fr-FR"/>
        </w:rPr>
        <w:t>La même année, Maria de Lurdes Rosa a salué cet article, le considérant comme « un élément d'une recherche plus vaste sur la naissance de la conception patrimoniale des archives, dont le prolongement le plus récent est l'étude de l'application de cette conception précisément aux archives familiales ». Quinze ans plus tard, Maria m'a demandé de revenir sur l'histoire du concept de « regard généalogique ». Suite à cette analyse, je propose quelques pistes de réflexion et méthodologies récentes susceptibles d'enrichir notre compréhension des archives familiales, d'hier et d'aujourd'hui.</w:t>
      </w:r>
    </w:p>
    <w:p w14:paraId="6CCF057B" w14:textId="77777777" w:rsidR="00686023" w:rsidRPr="00A35624" w:rsidRDefault="00686023" w:rsidP="000B3570">
      <w:pPr>
        <w:rPr>
          <w:u w:val="single"/>
          <w:lang w:val="fr-FR"/>
        </w:rPr>
      </w:pPr>
    </w:p>
    <w:p w14:paraId="1B896E7F" w14:textId="77777777" w:rsidR="00686023" w:rsidRPr="00A35624" w:rsidRDefault="00686023" w:rsidP="000B3570">
      <w:pPr>
        <w:rPr>
          <w:u w:val="single"/>
          <w:lang w:val="fr-FR"/>
        </w:rPr>
      </w:pPr>
    </w:p>
    <w:p w14:paraId="7EC5BAFD" w14:textId="5D122104" w:rsidR="00686023" w:rsidRPr="000B3570" w:rsidRDefault="00686023" w:rsidP="000B3570">
      <w:pPr>
        <w:rPr>
          <w:u w:val="single"/>
          <w:lang w:val="en-US"/>
        </w:rPr>
      </w:pPr>
      <w:r w:rsidRPr="000B3570">
        <w:rPr>
          <w:u w:val="single"/>
          <w:lang w:val="en-US"/>
        </w:rPr>
        <w:t>The Genealogical Gaze</w:t>
      </w:r>
      <w:r>
        <w:rPr>
          <w:u w:val="single"/>
          <w:lang w:val="en-US"/>
        </w:rPr>
        <w:t xml:space="preserve"> and beyond</w:t>
      </w:r>
    </w:p>
    <w:p w14:paraId="21BD3901" w14:textId="77777777" w:rsidR="00686023" w:rsidRPr="007B42B5" w:rsidRDefault="00686023" w:rsidP="0003006E">
      <w:pPr>
        <w:rPr>
          <w:lang w:val="en-US"/>
        </w:rPr>
      </w:pPr>
    </w:p>
    <w:p w14:paraId="587DA02A" w14:textId="1E36174B" w:rsidR="00686023" w:rsidRPr="009571DE" w:rsidRDefault="00686023" w:rsidP="0003006E">
      <w:pPr>
        <w:rPr>
          <w:lang w:val="en-US"/>
        </w:rPr>
      </w:pPr>
      <w:bookmarkStart w:id="0" w:name="_Hlk163117118"/>
      <w:r w:rsidRPr="009571DE">
        <w:rPr>
          <w:i/>
          <w:iCs/>
          <w:lang w:val="en-US"/>
        </w:rPr>
        <w:t xml:space="preserve">The Genealogical Gaze: Family Identities and Family Archives in the Fourteenth to Seventeenth Centuries </w:t>
      </w:r>
      <w:r w:rsidRPr="009571DE">
        <w:rPr>
          <w:lang w:val="en-US"/>
        </w:rPr>
        <w:t>was the title of a paper I presented at the third ICHORA (International Conference on the History of Records and Archives) held in Boston in 200</w:t>
      </w:r>
      <w:r>
        <w:rPr>
          <w:lang w:val="en-US"/>
        </w:rPr>
        <w:t>7</w:t>
      </w:r>
      <w:r w:rsidRPr="009571DE">
        <w:rPr>
          <w:lang w:val="en-US"/>
        </w:rPr>
        <w:t xml:space="preserve">. It was published in </w:t>
      </w:r>
      <w:r>
        <w:rPr>
          <w:lang w:val="en-US"/>
        </w:rPr>
        <w:t>2009</w:t>
      </w:r>
      <w:r w:rsidRPr="009571DE">
        <w:rPr>
          <w:lang w:val="en-US"/>
        </w:rPr>
        <w:t xml:space="preserve"> in </w:t>
      </w:r>
      <w:r w:rsidRPr="009571DE">
        <w:rPr>
          <w:i/>
          <w:iCs/>
          <w:lang w:val="en-US"/>
        </w:rPr>
        <w:t>Libraries &amp; the Cultural Record</w:t>
      </w:r>
      <w:r w:rsidRPr="009571DE">
        <w:rPr>
          <w:lang w:val="en-US"/>
        </w:rPr>
        <w:t>.</w:t>
      </w:r>
      <w:r>
        <w:rPr>
          <w:rStyle w:val="Eindnootmarkering"/>
          <w:lang w:val="en-US"/>
        </w:rPr>
        <w:endnoteReference w:id="2"/>
      </w:r>
      <w:r w:rsidRPr="009571DE">
        <w:rPr>
          <w:lang w:val="en-US"/>
        </w:rPr>
        <w:t xml:space="preserve"> The theme of the conference was  </w:t>
      </w:r>
      <w:r>
        <w:rPr>
          <w:lang w:val="en-US"/>
        </w:rPr>
        <w:t>‘</w:t>
      </w:r>
      <w:r w:rsidRPr="009571DE">
        <w:rPr>
          <w:lang w:val="en-US"/>
        </w:rPr>
        <w:t>Personal Papers in History</w:t>
      </w:r>
      <w:r>
        <w:rPr>
          <w:lang w:val="en-US"/>
        </w:rPr>
        <w:t>’</w:t>
      </w:r>
      <w:r w:rsidRPr="009571DE">
        <w:rPr>
          <w:lang w:val="en-US"/>
        </w:rPr>
        <w:t xml:space="preserve"> but I focused on the family as a space in which identities and archives are constructed. Using Susan Crane’s concept of the </w:t>
      </w:r>
      <w:r>
        <w:rPr>
          <w:lang w:val="en-US"/>
        </w:rPr>
        <w:t>‘</w:t>
      </w:r>
      <w:r w:rsidRPr="009571DE">
        <w:rPr>
          <w:lang w:val="en-US"/>
        </w:rPr>
        <w:t>historical gaze</w:t>
      </w:r>
      <w:r>
        <w:rPr>
          <w:lang w:val="en-US"/>
        </w:rPr>
        <w:t>’</w:t>
      </w:r>
      <w:r w:rsidRPr="009571DE">
        <w:rPr>
          <w:lang w:val="en-US"/>
        </w:rPr>
        <w:t xml:space="preserve"> which, through interacting with its object, creates a monument</w:t>
      </w:r>
      <w:r>
        <w:rPr>
          <w:rStyle w:val="Eindnootmarkering"/>
          <w:lang w:val="en-US"/>
        </w:rPr>
        <w:endnoteReference w:id="3"/>
      </w:r>
      <w:r w:rsidRPr="009571DE">
        <w:rPr>
          <w:lang w:val="en-US"/>
        </w:rPr>
        <w:t>,</w:t>
      </w:r>
      <w:bookmarkEnd w:id="0"/>
      <w:r w:rsidRPr="009571DE">
        <w:rPr>
          <w:lang w:val="en-US"/>
        </w:rPr>
        <w:t xml:space="preserve"> I argued that in Renaissance Florence, early modern England, and the Netherlands in the Golden Age, from the fourteenth century on, the </w:t>
      </w:r>
      <w:r>
        <w:rPr>
          <w:lang w:val="en-US"/>
        </w:rPr>
        <w:t>‘</w:t>
      </w:r>
      <w:r w:rsidRPr="009571DE">
        <w:rPr>
          <w:lang w:val="en-US"/>
        </w:rPr>
        <w:t>genealogical gaze</w:t>
      </w:r>
      <w:r>
        <w:rPr>
          <w:lang w:val="en-US"/>
        </w:rPr>
        <w:t>’</w:t>
      </w:r>
      <w:r w:rsidRPr="009571DE">
        <w:rPr>
          <w:lang w:val="en-US"/>
        </w:rPr>
        <w:t xml:space="preserve"> transfigured family archives </w:t>
      </w:r>
      <w:r w:rsidRPr="009571DE">
        <w:rPr>
          <w:lang w:val="en-US"/>
        </w:rPr>
        <w:lastRenderedPageBreak/>
        <w:t>into a cultural patrimony to be preserved, expanded, and transferred to future generations. Of course, the creation of an</w:t>
      </w:r>
      <w:r>
        <w:rPr>
          <w:lang w:val="en-US"/>
        </w:rPr>
        <w:t>y</w:t>
      </w:r>
      <w:r w:rsidRPr="009571DE">
        <w:rPr>
          <w:lang w:val="en-US"/>
        </w:rPr>
        <w:t xml:space="preserve"> archival document entails an awareness of a </w:t>
      </w:r>
      <w:r w:rsidRPr="009571DE">
        <w:rPr>
          <w:i/>
          <w:lang w:val="en-US"/>
        </w:rPr>
        <w:t>longue durée</w:t>
      </w:r>
      <w:r w:rsidRPr="009571DE">
        <w:rPr>
          <w:lang w:val="en-US"/>
        </w:rPr>
        <w:t xml:space="preserve"> stretching </w:t>
      </w:r>
      <w:r>
        <w:rPr>
          <w:lang w:val="en-US"/>
        </w:rPr>
        <w:t>from</w:t>
      </w:r>
      <w:r w:rsidRPr="009571DE">
        <w:rPr>
          <w:lang w:val="en-US"/>
        </w:rPr>
        <w:t xml:space="preserve"> what Australian colleagues call </w:t>
      </w:r>
      <w:r>
        <w:rPr>
          <w:lang w:val="en-US"/>
        </w:rPr>
        <w:t>‘</w:t>
      </w:r>
      <w:r w:rsidRPr="009571DE">
        <w:rPr>
          <w:lang w:val="en-US"/>
        </w:rPr>
        <w:t>a nanosecond</w:t>
      </w:r>
      <w:r>
        <w:rPr>
          <w:lang w:val="en-US"/>
        </w:rPr>
        <w:t>’</w:t>
      </w:r>
      <w:r w:rsidRPr="009571DE">
        <w:rPr>
          <w:lang w:val="en-US"/>
        </w:rPr>
        <w:t xml:space="preserve"> of archive making</w:t>
      </w:r>
      <w:r>
        <w:rPr>
          <w:lang w:val="en-US"/>
        </w:rPr>
        <w:t>,</w:t>
      </w:r>
      <w:r w:rsidRPr="009571DE">
        <w:rPr>
          <w:lang w:val="en-US"/>
        </w:rPr>
        <w:t xml:space="preserve"> well into the future.</w:t>
      </w:r>
      <w:r w:rsidRPr="009571DE">
        <w:rPr>
          <w:rStyle w:val="Eindnootmarkering"/>
          <w:lang w:val="en-US"/>
        </w:rPr>
        <w:endnoteReference w:id="4"/>
      </w:r>
      <w:r w:rsidRPr="009571DE">
        <w:rPr>
          <w:lang w:val="en-US"/>
        </w:rPr>
        <w:t xml:space="preserve"> </w:t>
      </w:r>
      <w:r>
        <w:rPr>
          <w:lang w:val="en-US"/>
        </w:rPr>
        <w:t xml:space="preserve">Every archive creator acts with a future use of the document in mind, even throwing away a piece of paper is an archival decision. I will come back later to that counter-archivalization. </w:t>
      </w:r>
      <w:r w:rsidRPr="009571DE">
        <w:rPr>
          <w:lang w:val="en-US"/>
        </w:rPr>
        <w:t xml:space="preserve">But this </w:t>
      </w:r>
      <w:r>
        <w:rPr>
          <w:lang w:val="en-US"/>
        </w:rPr>
        <w:t xml:space="preserve">archival awareness </w:t>
      </w:r>
      <w:r w:rsidRPr="009571DE">
        <w:rPr>
          <w:lang w:val="en-US"/>
        </w:rPr>
        <w:t xml:space="preserve">is different from the notion that records created </w:t>
      </w:r>
      <w:r>
        <w:rPr>
          <w:lang w:val="en-US"/>
        </w:rPr>
        <w:t xml:space="preserve">in the course of </w:t>
      </w:r>
      <w:r w:rsidRPr="009571DE">
        <w:rPr>
          <w:lang w:val="en-US"/>
        </w:rPr>
        <w:t xml:space="preserve">current business </w:t>
      </w:r>
      <w:r w:rsidRPr="009571DE">
        <w:rPr>
          <w:i/>
          <w:lang w:val="en-US"/>
        </w:rPr>
        <w:t>may be transferred as a heritage to future generations who will value these records as cultural assets</w:t>
      </w:r>
      <w:r w:rsidRPr="009571DE">
        <w:rPr>
          <w:lang w:val="en-US"/>
        </w:rPr>
        <w:t>. Some records are transfigured into archival and cultural patrimony.</w:t>
      </w:r>
      <w:r>
        <w:rPr>
          <w:lang w:val="en-US"/>
        </w:rPr>
        <w:t xml:space="preserve"> Felipa Lopez called it the archival metamorphosis.</w:t>
      </w:r>
      <w:r>
        <w:rPr>
          <w:rStyle w:val="Eindnootmarkering"/>
          <w:lang w:val="en-US"/>
        </w:rPr>
        <w:endnoteReference w:id="5"/>
      </w:r>
      <w:r>
        <w:rPr>
          <w:lang w:val="en-US"/>
        </w:rPr>
        <w:t xml:space="preserve"> </w:t>
      </w:r>
    </w:p>
    <w:p w14:paraId="10413D39" w14:textId="1B11808F" w:rsidR="00686023" w:rsidRDefault="00686023" w:rsidP="00B62CCD">
      <w:pPr>
        <w:autoSpaceDE w:val="0"/>
        <w:autoSpaceDN w:val="0"/>
        <w:adjustRightInd w:val="0"/>
        <w:rPr>
          <w:rFonts w:ascii="ITCGaramondStd-Bk" w:eastAsiaTheme="minorHAnsi" w:hAnsi="ITCGaramondStd-Bk" w:cs="ITCGaramondStd-Bk"/>
          <w:lang w:val="en-US" w:eastAsia="en-US"/>
        </w:rPr>
      </w:pPr>
    </w:p>
    <w:p w14:paraId="0F881905" w14:textId="5F168DEC" w:rsidR="00686023" w:rsidRPr="0003006E" w:rsidRDefault="00686023" w:rsidP="00B62CCD">
      <w:pPr>
        <w:autoSpaceDE w:val="0"/>
        <w:autoSpaceDN w:val="0"/>
        <w:adjustRightInd w:val="0"/>
        <w:rPr>
          <w:rFonts w:eastAsiaTheme="minorHAnsi" w:cs="ITCGaramondStd-Bk"/>
          <w:lang w:val="en-US" w:eastAsia="en-US"/>
        </w:rPr>
      </w:pPr>
      <w:bookmarkStart w:id="1" w:name="_Hlk163117252"/>
      <w:bookmarkStart w:id="2" w:name="_Hlk170648250"/>
      <w:r>
        <w:rPr>
          <w:rFonts w:eastAsiaTheme="minorHAnsi" w:cs="ITCGaramondStd-Bk"/>
          <w:lang w:val="en-US" w:eastAsia="en-US"/>
        </w:rPr>
        <w:t>In the same year my paper appeared in print (2009), Maria de Lurdes Rosa welcomed it as</w:t>
      </w:r>
      <w:bookmarkEnd w:id="1"/>
      <w:r>
        <w:rPr>
          <w:rFonts w:eastAsiaTheme="minorHAnsi" w:cs="ITCGaramondStd-Bk"/>
          <w:lang w:val="en-US" w:eastAsia="en-US"/>
        </w:rPr>
        <w:t xml:space="preserve"> ‘</w:t>
      </w:r>
      <w:r w:rsidRPr="005D0F88">
        <w:rPr>
          <w:rFonts w:eastAsiaTheme="minorHAnsi" w:cs="ITCGaramondStd-Bk"/>
          <w:lang w:val="en-US" w:eastAsia="en-US"/>
        </w:rPr>
        <w:t>part of a wider investigation into the birth of the patrimonial conception of archives, the most recent continuation of which was the investigation into the occurrence of that conception precisely in family archives.</w:t>
      </w:r>
      <w:r>
        <w:rPr>
          <w:rFonts w:eastAsiaTheme="minorHAnsi" w:cs="ITCGaramondStd-Bk"/>
          <w:lang w:val="en-US" w:eastAsia="en-US"/>
        </w:rPr>
        <w:t>’</w:t>
      </w:r>
      <w:bookmarkEnd w:id="2"/>
      <w:r>
        <w:rPr>
          <w:rStyle w:val="Eindnootmarkering"/>
          <w:rFonts w:eastAsiaTheme="minorHAnsi" w:cs="ITCGaramondStd-Bk"/>
          <w:lang w:val="en-US" w:eastAsia="en-US"/>
        </w:rPr>
        <w:endnoteReference w:id="6"/>
      </w:r>
      <w:r>
        <w:rPr>
          <w:rFonts w:eastAsiaTheme="minorHAnsi" w:cs="ITCGaramondStd-Bk"/>
          <w:lang w:val="en-US" w:eastAsia="en-US"/>
        </w:rPr>
        <w:t xml:space="preserve"> </w:t>
      </w:r>
      <w:bookmarkStart w:id="3" w:name="_Hlk160627835"/>
      <w:r w:rsidRPr="0003006E">
        <w:rPr>
          <w:rFonts w:eastAsiaTheme="minorHAnsi" w:cs="ITCGaramondStd-Bk"/>
          <w:lang w:val="en-US" w:eastAsia="en-US"/>
        </w:rPr>
        <w:t xml:space="preserve">Maria </w:t>
      </w:r>
      <w:r>
        <w:rPr>
          <w:rFonts w:eastAsiaTheme="minorHAnsi" w:cs="ITCGaramondStd-Bk"/>
          <w:lang w:val="en-US" w:eastAsia="en-US"/>
        </w:rPr>
        <w:t xml:space="preserve">de </w:t>
      </w:r>
      <w:r w:rsidRPr="0003006E">
        <w:rPr>
          <w:rFonts w:eastAsiaTheme="minorHAnsi" w:cs="ITCGaramondStd-Bk"/>
          <w:lang w:val="en-US" w:eastAsia="en-US"/>
        </w:rPr>
        <w:t xml:space="preserve">Lurdes Rosa adopted the concept of the genealogical gaze in her introduction to the book </w:t>
      </w:r>
      <w:bookmarkStart w:id="4" w:name="_Hlk161062542"/>
      <w:proofErr w:type="spellStart"/>
      <w:r w:rsidRPr="0003006E">
        <w:rPr>
          <w:rFonts w:eastAsiaTheme="minorHAnsi" w:cs="ITCGaramondStd-Bk"/>
          <w:i/>
          <w:iCs/>
          <w:lang w:val="en-US" w:eastAsia="en-US"/>
        </w:rPr>
        <w:t>Arquivos</w:t>
      </w:r>
      <w:proofErr w:type="spellEnd"/>
      <w:r w:rsidRPr="0003006E">
        <w:rPr>
          <w:rFonts w:eastAsiaTheme="minorHAnsi" w:cs="ITCGaramondStd-Bk"/>
          <w:i/>
          <w:iCs/>
          <w:lang w:val="en-US" w:eastAsia="en-US"/>
        </w:rPr>
        <w:t xml:space="preserve"> de </w:t>
      </w:r>
      <w:proofErr w:type="spellStart"/>
      <w:r w:rsidRPr="0003006E">
        <w:rPr>
          <w:rFonts w:eastAsiaTheme="minorHAnsi" w:cs="ITCGaramondStd-Bk"/>
          <w:i/>
          <w:iCs/>
          <w:lang w:val="en-US" w:eastAsia="en-US"/>
        </w:rPr>
        <w:t>família</w:t>
      </w:r>
      <w:proofErr w:type="spellEnd"/>
      <w:r w:rsidRPr="0003006E">
        <w:rPr>
          <w:rFonts w:eastAsiaTheme="minorHAnsi" w:cs="ITCGaramondStd-Bk"/>
          <w:i/>
          <w:iCs/>
          <w:lang w:val="en-US" w:eastAsia="en-US"/>
        </w:rPr>
        <w:t xml:space="preserve">, </w:t>
      </w:r>
      <w:proofErr w:type="spellStart"/>
      <w:r w:rsidRPr="0003006E">
        <w:rPr>
          <w:rFonts w:eastAsiaTheme="minorHAnsi" w:cs="ITCGaramondStd-Bk"/>
          <w:i/>
          <w:iCs/>
          <w:lang w:val="en-US" w:eastAsia="en-US"/>
        </w:rPr>
        <w:t>séculos</w:t>
      </w:r>
      <w:proofErr w:type="spellEnd"/>
      <w:r w:rsidRPr="0003006E">
        <w:rPr>
          <w:rFonts w:eastAsiaTheme="minorHAnsi" w:cs="ITCGaramondStd-Bk"/>
          <w:i/>
          <w:iCs/>
          <w:lang w:val="en-US" w:eastAsia="en-US"/>
        </w:rPr>
        <w:t xml:space="preserve"> XIII-XX: </w:t>
      </w:r>
      <w:proofErr w:type="spellStart"/>
      <w:r w:rsidRPr="0003006E">
        <w:rPr>
          <w:rFonts w:eastAsiaTheme="minorHAnsi" w:cs="ITCGaramondStd-Bk"/>
          <w:i/>
          <w:iCs/>
          <w:lang w:val="en-US" w:eastAsia="en-US"/>
        </w:rPr>
        <w:t>que</w:t>
      </w:r>
      <w:proofErr w:type="spellEnd"/>
      <w:r w:rsidRPr="0003006E">
        <w:rPr>
          <w:rFonts w:eastAsiaTheme="minorHAnsi" w:cs="ITCGaramondStd-Bk"/>
          <w:i/>
          <w:iCs/>
          <w:lang w:val="en-US" w:eastAsia="en-US"/>
        </w:rPr>
        <w:t xml:space="preserve"> </w:t>
      </w:r>
      <w:proofErr w:type="spellStart"/>
      <w:r w:rsidRPr="0003006E">
        <w:rPr>
          <w:rFonts w:eastAsiaTheme="minorHAnsi" w:cs="ITCGaramondStd-Bk"/>
          <w:i/>
          <w:iCs/>
          <w:lang w:val="en-US" w:eastAsia="en-US"/>
        </w:rPr>
        <w:t>presente</w:t>
      </w:r>
      <w:proofErr w:type="spellEnd"/>
      <w:r w:rsidRPr="0003006E">
        <w:rPr>
          <w:rFonts w:eastAsiaTheme="minorHAnsi" w:cs="ITCGaramondStd-Bk"/>
          <w:i/>
          <w:iCs/>
          <w:lang w:val="en-US" w:eastAsia="en-US"/>
        </w:rPr>
        <w:t xml:space="preserve">, </w:t>
      </w:r>
      <w:proofErr w:type="spellStart"/>
      <w:r w:rsidRPr="0003006E">
        <w:rPr>
          <w:rFonts w:eastAsiaTheme="minorHAnsi" w:cs="ITCGaramondStd-Bk"/>
          <w:i/>
          <w:iCs/>
          <w:lang w:val="en-US" w:eastAsia="en-US"/>
        </w:rPr>
        <w:t>que</w:t>
      </w:r>
      <w:proofErr w:type="spellEnd"/>
      <w:r w:rsidRPr="0003006E">
        <w:rPr>
          <w:rFonts w:eastAsiaTheme="minorHAnsi" w:cs="ITCGaramondStd-Bk"/>
          <w:i/>
          <w:iCs/>
          <w:lang w:val="en-US" w:eastAsia="en-US"/>
        </w:rPr>
        <w:t xml:space="preserve"> </w:t>
      </w:r>
      <w:proofErr w:type="spellStart"/>
      <w:r w:rsidRPr="0003006E">
        <w:rPr>
          <w:rFonts w:eastAsiaTheme="minorHAnsi" w:cs="ITCGaramondStd-Bk"/>
          <w:i/>
          <w:iCs/>
          <w:lang w:val="en-US" w:eastAsia="en-US"/>
        </w:rPr>
        <w:t>futuro</w:t>
      </w:r>
      <w:proofErr w:type="spellEnd"/>
      <w:r w:rsidRPr="0003006E">
        <w:rPr>
          <w:rFonts w:eastAsiaTheme="minorHAnsi" w:cs="ITCGaramondStd-Bk"/>
          <w:i/>
          <w:iCs/>
          <w:lang w:val="en-US" w:eastAsia="en-US"/>
        </w:rPr>
        <w:t>?</w:t>
      </w:r>
      <w:bookmarkEnd w:id="4"/>
      <w:r>
        <w:rPr>
          <w:rFonts w:eastAsiaTheme="minorHAnsi" w:cs="ITCGaramondStd-Bk"/>
          <w:lang w:val="en-US" w:eastAsia="en-US"/>
        </w:rPr>
        <w:t xml:space="preserve">, </w:t>
      </w:r>
      <w:r w:rsidRPr="0003006E">
        <w:rPr>
          <w:rFonts w:eastAsiaTheme="minorHAnsi" w:cs="ITCGaramondStd-Bk"/>
          <w:lang w:val="en-US" w:eastAsia="en-US"/>
        </w:rPr>
        <w:t>published in 2012</w:t>
      </w:r>
      <w:bookmarkEnd w:id="3"/>
      <w:r>
        <w:rPr>
          <w:lang w:val="en-US"/>
        </w:rPr>
        <w:t>.</w:t>
      </w:r>
      <w:r w:rsidRPr="0003006E">
        <w:rPr>
          <w:rStyle w:val="Eindnootmarkering"/>
          <w:rFonts w:eastAsiaTheme="minorHAnsi" w:cs="ITCGaramondStd-Bk"/>
          <w:lang w:val="fr-FR" w:eastAsia="en-US"/>
        </w:rPr>
        <w:endnoteReference w:id="7"/>
      </w:r>
      <w:r w:rsidRPr="0003006E">
        <w:rPr>
          <w:rFonts w:eastAsiaTheme="minorHAnsi" w:cs="ITCGaramondStd-Bk"/>
          <w:lang w:val="en-US" w:eastAsia="en-US"/>
        </w:rPr>
        <w:t xml:space="preserve"> Maria translated genealogical gaze by </w:t>
      </w:r>
      <w:r>
        <w:rPr>
          <w:rFonts w:eastAsiaTheme="minorHAnsi" w:cs="ITCGaramondStd-Bk"/>
          <w:lang w:val="en-US" w:eastAsia="en-US"/>
        </w:rPr>
        <w:t>‘</w:t>
      </w:r>
      <w:proofErr w:type="spellStart"/>
      <w:r w:rsidRPr="0003006E">
        <w:rPr>
          <w:rFonts w:eastAsiaTheme="minorHAnsi" w:cs="ITCGaramondStd-Bk"/>
          <w:lang w:val="en-US" w:eastAsia="en-US"/>
        </w:rPr>
        <w:t>perspectiva</w:t>
      </w:r>
      <w:proofErr w:type="spellEnd"/>
      <w:r w:rsidRPr="0003006E">
        <w:rPr>
          <w:rFonts w:eastAsiaTheme="minorHAnsi" w:cs="ITCGaramondStd-Bk"/>
          <w:lang w:val="en-US" w:eastAsia="en-US"/>
        </w:rPr>
        <w:t xml:space="preserve"> </w:t>
      </w:r>
      <w:proofErr w:type="spellStart"/>
      <w:r w:rsidRPr="0003006E">
        <w:rPr>
          <w:rFonts w:eastAsiaTheme="minorHAnsi" w:cs="ITCGaramondStd-Bk"/>
          <w:lang w:val="en-US" w:eastAsia="en-US"/>
        </w:rPr>
        <w:t>genealogica</w:t>
      </w:r>
      <w:proofErr w:type="spellEnd"/>
      <w:r>
        <w:rPr>
          <w:rFonts w:eastAsiaTheme="minorHAnsi" w:cs="ITCGaramondStd-Bk"/>
          <w:lang w:val="en-US" w:eastAsia="en-US"/>
        </w:rPr>
        <w:t>’.</w:t>
      </w:r>
      <w:r w:rsidRPr="0003006E">
        <w:rPr>
          <w:rFonts w:eastAsiaTheme="minorHAnsi" w:cs="ITCGaramondStd-Bk"/>
          <w:lang w:val="en-US" w:eastAsia="en-US"/>
        </w:rPr>
        <w:t xml:space="preserve"> The same translation was used in 2016 by Judit Gutierrez de Armas in her review of the state of the art with respect to family archives</w:t>
      </w:r>
      <w:r>
        <w:rPr>
          <w:rFonts w:eastAsiaTheme="minorHAnsi" w:cs="ITCGaramondStd-Bk"/>
          <w:lang w:val="en-US" w:eastAsia="en-US"/>
        </w:rPr>
        <w:t>.</w:t>
      </w:r>
      <w:r>
        <w:rPr>
          <w:rStyle w:val="Eindnootmarkering"/>
          <w:rFonts w:eastAsiaTheme="minorHAnsi" w:cs="ITCGaramondStd-Bk"/>
          <w:lang w:val="en-US" w:eastAsia="en-US"/>
        </w:rPr>
        <w:endnoteReference w:id="8"/>
      </w:r>
      <w:r w:rsidRPr="0003006E">
        <w:rPr>
          <w:rStyle w:val="Eindnootmarkering"/>
          <w:rFonts w:eastAsiaTheme="minorHAnsi" w:cs="ITCGaramondStd-Bk"/>
          <w:lang w:val="en-US" w:eastAsia="en-US"/>
        </w:rPr>
        <w:endnoteReference w:id="9"/>
      </w:r>
      <w:r w:rsidRPr="0003006E">
        <w:rPr>
          <w:rFonts w:eastAsiaTheme="minorHAnsi" w:cs="ITCGaramondStd-Bk"/>
          <w:lang w:val="en-US" w:eastAsia="en-US"/>
        </w:rPr>
        <w:t xml:space="preserve"> More recently, Judit used the expression </w:t>
      </w:r>
      <w:r>
        <w:rPr>
          <w:rFonts w:eastAsiaTheme="minorHAnsi" w:cs="ITCGaramondStd-Bk"/>
          <w:lang w:val="en-US" w:eastAsia="en-US"/>
        </w:rPr>
        <w:t>‘</w:t>
      </w:r>
      <w:proofErr w:type="spellStart"/>
      <w:r w:rsidRPr="0003006E">
        <w:rPr>
          <w:rFonts w:eastAsiaTheme="minorHAnsi" w:cs="ITCGaramondStd-Bk"/>
          <w:lang w:val="en-US" w:eastAsia="en-US"/>
        </w:rPr>
        <w:t>miranda</w:t>
      </w:r>
      <w:proofErr w:type="spellEnd"/>
      <w:r w:rsidRPr="0003006E">
        <w:rPr>
          <w:rFonts w:eastAsiaTheme="minorHAnsi" w:cs="ITCGaramondStd-Bk"/>
          <w:lang w:val="en-US" w:eastAsia="en-US"/>
        </w:rPr>
        <w:t xml:space="preserve"> </w:t>
      </w:r>
      <w:proofErr w:type="spellStart"/>
      <w:r w:rsidRPr="0003006E">
        <w:rPr>
          <w:rFonts w:eastAsiaTheme="minorHAnsi" w:cs="ITCGaramondStd-Bk"/>
          <w:lang w:val="en-US" w:eastAsia="en-US"/>
        </w:rPr>
        <w:t>genealogica</w:t>
      </w:r>
      <w:proofErr w:type="spellEnd"/>
      <w:r>
        <w:rPr>
          <w:rFonts w:eastAsiaTheme="minorHAnsi" w:cs="ITCGaramondStd-Bk"/>
          <w:lang w:val="en-US" w:eastAsia="en-US"/>
        </w:rPr>
        <w:t>’</w:t>
      </w:r>
      <w:r>
        <w:rPr>
          <w:rStyle w:val="Eindnootmarkering"/>
          <w:rFonts w:eastAsiaTheme="minorHAnsi" w:cs="ITCGaramondStd-Bk"/>
          <w:lang w:val="en-US" w:eastAsia="en-US"/>
        </w:rPr>
        <w:endnoteReference w:id="10"/>
      </w:r>
      <w:r w:rsidRPr="0003006E">
        <w:rPr>
          <w:rFonts w:eastAsiaTheme="minorHAnsi" w:cs="ITCGaramondStd-Bk"/>
          <w:lang w:val="en-US" w:eastAsia="en-US"/>
        </w:rPr>
        <w:t xml:space="preserve"> I think that using the term ‘perspective’ risks obscuring the agency of the beholder, the agency so essential in the construction of the archive, as I will discuss later.  </w:t>
      </w:r>
    </w:p>
    <w:p w14:paraId="4A81DD24" w14:textId="77777777" w:rsidR="00686023" w:rsidRDefault="00686023" w:rsidP="00B62CCD">
      <w:pPr>
        <w:autoSpaceDE w:val="0"/>
        <w:autoSpaceDN w:val="0"/>
        <w:adjustRightInd w:val="0"/>
        <w:rPr>
          <w:rFonts w:ascii="ITCGaramondStd-Bk" w:eastAsiaTheme="minorHAnsi" w:hAnsi="ITCGaramondStd-Bk" w:cs="ITCGaramondStd-Bk"/>
          <w:lang w:val="en-US" w:eastAsia="en-US"/>
        </w:rPr>
      </w:pPr>
    </w:p>
    <w:p w14:paraId="3EFB3C36" w14:textId="10636271" w:rsidR="00686023" w:rsidRDefault="00686023" w:rsidP="004813F9">
      <w:pPr>
        <w:autoSpaceDE w:val="0"/>
        <w:autoSpaceDN w:val="0"/>
        <w:adjustRightInd w:val="0"/>
        <w:rPr>
          <w:rFonts w:eastAsiaTheme="minorHAnsi" w:cs="ITCGaramondStd-Bk"/>
          <w:lang w:val="en-US" w:eastAsia="en-US"/>
        </w:rPr>
      </w:pPr>
      <w:r w:rsidRPr="00AB5498">
        <w:rPr>
          <w:rFonts w:eastAsiaTheme="minorHAnsi" w:cs="ITCGaramondStd-Bk"/>
          <w:lang w:val="en-US" w:eastAsia="en-US"/>
        </w:rPr>
        <w:t xml:space="preserve">The concept of the genealogical gaze was slowly adopted. Some of the publications before 2020 </w:t>
      </w:r>
      <w:r>
        <w:rPr>
          <w:rFonts w:eastAsiaTheme="minorHAnsi" w:cs="ITCGaramondStd-Bk"/>
          <w:lang w:val="en-US" w:eastAsia="en-US"/>
        </w:rPr>
        <w:t>include a</w:t>
      </w:r>
      <w:r w:rsidRPr="00AB5498">
        <w:rPr>
          <w:rFonts w:eastAsiaTheme="minorHAnsi" w:cs="ITCGaramondStd-Bk"/>
          <w:lang w:val="en-US" w:eastAsia="en-US"/>
        </w:rPr>
        <w:t xml:space="preserve"> reference to my </w:t>
      </w:r>
      <w:r w:rsidRPr="00AB5498">
        <w:rPr>
          <w:rFonts w:eastAsiaTheme="minorHAnsi" w:cs="ITCGaramondStd-Bk"/>
          <w:i/>
          <w:iCs/>
          <w:lang w:val="en-US" w:eastAsia="en-US"/>
        </w:rPr>
        <w:t>Genealogical gaze</w:t>
      </w:r>
      <w:r w:rsidRPr="00AB5498">
        <w:rPr>
          <w:rFonts w:eastAsiaTheme="minorHAnsi" w:cs="ITCGaramondStd-Bk"/>
          <w:lang w:val="en-US" w:eastAsia="en-US"/>
        </w:rPr>
        <w:t xml:space="preserve">, without however discussing or mentioning the concept in the main text. Since the </w:t>
      </w:r>
      <w:proofErr w:type="spellStart"/>
      <w:r w:rsidRPr="00AB5498">
        <w:rPr>
          <w:rFonts w:eastAsiaTheme="minorHAnsi" w:cs="ITCGaramondStd-Bk"/>
          <w:lang w:val="en-US" w:eastAsia="en-US"/>
        </w:rPr>
        <w:t>2020s</w:t>
      </w:r>
      <w:proofErr w:type="spellEnd"/>
      <w:r w:rsidRPr="00AB5498">
        <w:rPr>
          <w:rFonts w:eastAsiaTheme="minorHAnsi" w:cs="ITCGaramondStd-Bk"/>
          <w:lang w:val="en-US" w:eastAsia="en-US"/>
        </w:rPr>
        <w:t xml:space="preserve"> more engagement with the concept was shown in a number of articles and theses, by scholars in history and archivistics from Portugal, The Netherlands, Spain, Turkey, Germany, </w:t>
      </w:r>
      <w:r>
        <w:rPr>
          <w:rFonts w:eastAsiaTheme="minorHAnsi" w:cs="ITCGaramondStd-Bk"/>
          <w:lang w:val="en-US" w:eastAsia="en-US"/>
        </w:rPr>
        <w:t xml:space="preserve">the United Kingdom, </w:t>
      </w:r>
      <w:r w:rsidRPr="00AB5498">
        <w:rPr>
          <w:rFonts w:eastAsiaTheme="minorHAnsi" w:cs="ITCGaramondStd-Bk"/>
          <w:lang w:val="en-US" w:eastAsia="en-US"/>
        </w:rPr>
        <w:t xml:space="preserve">and Australia. </w:t>
      </w:r>
      <w:r>
        <w:rPr>
          <w:rFonts w:eastAsiaTheme="minorHAnsi" w:cs="ITCGaramondStd-Bk"/>
          <w:lang w:val="en-US" w:eastAsia="en-US"/>
        </w:rPr>
        <w:t xml:space="preserve">Two important books published in 2023 refer to the term or the concept of the ‘genealogical gaze’: </w:t>
      </w:r>
      <w:r w:rsidRPr="00AA6C90">
        <w:rPr>
          <w:rFonts w:eastAsiaTheme="minorHAnsi" w:cs="ITCGaramondStd-Bk"/>
          <w:lang w:val="en-US" w:eastAsia="en-US"/>
        </w:rPr>
        <w:t>Markus Friedrich</w:t>
      </w:r>
      <w:r>
        <w:rPr>
          <w:rFonts w:eastAsiaTheme="minorHAnsi" w:cs="ITCGaramondStd-Bk"/>
          <w:lang w:val="en-US" w:eastAsia="en-US"/>
        </w:rPr>
        <w:t xml:space="preserve">’s </w:t>
      </w:r>
      <w:r w:rsidRPr="00AA6C90">
        <w:rPr>
          <w:rFonts w:eastAsiaTheme="minorHAnsi" w:cs="ITCGaramondStd-Bk"/>
          <w:i/>
          <w:iCs/>
          <w:lang w:val="en-US" w:eastAsia="en-US"/>
        </w:rPr>
        <w:t xml:space="preserve">The maker of pedigrees </w:t>
      </w:r>
      <w:r>
        <w:rPr>
          <w:rFonts w:eastAsiaTheme="minorHAnsi" w:cs="ITCGaramondStd-Bk"/>
          <w:lang w:val="en-US" w:eastAsia="en-US"/>
        </w:rPr>
        <w:t>on the</w:t>
      </w:r>
      <w:r w:rsidRPr="00AA6C90">
        <w:rPr>
          <w:rFonts w:eastAsiaTheme="minorHAnsi" w:cs="ITCGaramondStd-Bk"/>
          <w:lang w:val="en-US" w:eastAsia="en-US"/>
        </w:rPr>
        <w:t xml:space="preserve"> meanings of genealogy in early modern Europe</w:t>
      </w:r>
      <w:r>
        <w:rPr>
          <w:rFonts w:eastAsiaTheme="minorHAnsi" w:cs="ITCGaramondStd-Bk"/>
          <w:lang w:val="en-US" w:eastAsia="en-US"/>
        </w:rPr>
        <w:t xml:space="preserve">, and Alexandra Walsham’s </w:t>
      </w:r>
      <w:r w:rsidRPr="00F175DF">
        <w:rPr>
          <w:rFonts w:eastAsiaTheme="minorHAnsi" w:cs="ITCGaramondStd-Bk"/>
          <w:i/>
          <w:iCs/>
          <w:lang w:val="en-US" w:eastAsia="en-US"/>
        </w:rPr>
        <w:t>Generations. Age, ancestry, and memory in the English Reformations</w:t>
      </w:r>
      <w:r>
        <w:rPr>
          <w:rFonts w:eastAsiaTheme="minorHAnsi" w:cs="ITCGaramondStd-Bk"/>
          <w:lang w:val="en-US" w:eastAsia="en-US"/>
        </w:rPr>
        <w:t>.</w:t>
      </w:r>
      <w:r>
        <w:rPr>
          <w:rStyle w:val="Eindnootmarkering"/>
          <w:rFonts w:eastAsiaTheme="minorHAnsi" w:cs="ITCGaramondStd-Bk"/>
          <w:lang w:val="en-US" w:eastAsia="en-US"/>
        </w:rPr>
        <w:endnoteReference w:id="11"/>
      </w:r>
    </w:p>
    <w:p w14:paraId="6D8645F7" w14:textId="77777777" w:rsidR="00686023" w:rsidRDefault="00686023" w:rsidP="004813F9">
      <w:pPr>
        <w:autoSpaceDE w:val="0"/>
        <w:autoSpaceDN w:val="0"/>
        <w:adjustRightInd w:val="0"/>
        <w:rPr>
          <w:rFonts w:eastAsiaTheme="minorHAnsi" w:cs="ITCGaramondStd-Bk"/>
          <w:lang w:val="en-US" w:eastAsia="en-US"/>
        </w:rPr>
      </w:pPr>
    </w:p>
    <w:p w14:paraId="49333999" w14:textId="77C9C896" w:rsidR="00686023" w:rsidRDefault="00686023" w:rsidP="004813F9">
      <w:pPr>
        <w:autoSpaceDE w:val="0"/>
        <w:autoSpaceDN w:val="0"/>
        <w:adjustRightInd w:val="0"/>
        <w:rPr>
          <w:rFonts w:eastAsiaTheme="minorHAnsi" w:cs="ITCGaramondStd-Bk"/>
          <w:lang w:val="en-US" w:eastAsia="en-US"/>
        </w:rPr>
      </w:pPr>
      <w:r w:rsidRPr="00AA6C90">
        <w:rPr>
          <w:rFonts w:eastAsiaTheme="minorHAnsi" w:cs="ITCGaramondStd-Bk"/>
          <w:lang w:val="en-US" w:eastAsia="en-US"/>
        </w:rPr>
        <w:t xml:space="preserve">I feel </w:t>
      </w:r>
      <w:proofErr w:type="spellStart"/>
      <w:r w:rsidRPr="00AA6C90">
        <w:rPr>
          <w:rFonts w:eastAsiaTheme="minorHAnsi" w:cs="ITCGaramondStd-Bk"/>
          <w:lang w:val="en-US" w:eastAsia="en-US"/>
        </w:rPr>
        <w:t>honoured</w:t>
      </w:r>
      <w:proofErr w:type="spellEnd"/>
      <w:r w:rsidRPr="00AA6C90">
        <w:rPr>
          <w:rFonts w:eastAsiaTheme="minorHAnsi" w:cs="ITCGaramondStd-Bk"/>
          <w:lang w:val="en-US" w:eastAsia="en-US"/>
        </w:rPr>
        <w:t xml:space="preserve"> by </w:t>
      </w:r>
      <w:r>
        <w:rPr>
          <w:rFonts w:eastAsiaTheme="minorHAnsi" w:cs="ITCGaramondStd-Bk"/>
          <w:lang w:val="en-US" w:eastAsia="en-US"/>
        </w:rPr>
        <w:t xml:space="preserve">Markus Friedrich’s </w:t>
      </w:r>
      <w:r w:rsidRPr="00AA6C90">
        <w:rPr>
          <w:rFonts w:eastAsiaTheme="minorHAnsi" w:cs="ITCGaramondStd-Bk"/>
          <w:lang w:val="en-US" w:eastAsia="en-US"/>
        </w:rPr>
        <w:t xml:space="preserve">reference to my article, but it seems that we are using the term for different concepts and practices. Friedrich’s genealogical gaze </w:t>
      </w:r>
      <w:r>
        <w:rPr>
          <w:rFonts w:eastAsiaTheme="minorHAnsi" w:cs="ITCGaramondStd-Bk"/>
          <w:lang w:val="en-US" w:eastAsia="en-US"/>
        </w:rPr>
        <w:t>and Walsham’s genealogical itch or fever</w:t>
      </w:r>
      <w:r>
        <w:rPr>
          <w:rStyle w:val="Eindnootmarkering"/>
          <w:rFonts w:eastAsiaTheme="minorHAnsi" w:cs="ITCGaramondStd-Bk"/>
          <w:lang w:val="en-US" w:eastAsia="en-US"/>
        </w:rPr>
        <w:endnoteReference w:id="12"/>
      </w:r>
      <w:r>
        <w:rPr>
          <w:rFonts w:eastAsiaTheme="minorHAnsi" w:cs="ITCGaramondStd-Bk"/>
          <w:lang w:val="en-US" w:eastAsia="en-US"/>
        </w:rPr>
        <w:t xml:space="preserve"> </w:t>
      </w:r>
      <w:r w:rsidRPr="00AA6C90">
        <w:rPr>
          <w:rFonts w:eastAsiaTheme="minorHAnsi" w:cs="ITCGaramondStd-Bk"/>
          <w:lang w:val="en-US" w:eastAsia="en-US"/>
        </w:rPr>
        <w:t xml:space="preserve">is the </w:t>
      </w:r>
      <w:r>
        <w:rPr>
          <w:rFonts w:eastAsiaTheme="minorHAnsi" w:cs="ITCGaramondStd-Bk"/>
          <w:lang w:val="en-US" w:eastAsia="en-US"/>
        </w:rPr>
        <w:t>fascination</w:t>
      </w:r>
      <w:r w:rsidRPr="00AA6C90">
        <w:rPr>
          <w:rFonts w:eastAsiaTheme="minorHAnsi" w:cs="ITCGaramondStd-Bk"/>
          <w:lang w:val="en-US" w:eastAsia="en-US"/>
        </w:rPr>
        <w:t xml:space="preserve"> with genealogy as a cultural, social</w:t>
      </w:r>
      <w:r>
        <w:rPr>
          <w:rFonts w:eastAsiaTheme="minorHAnsi" w:cs="ITCGaramondStd-Bk"/>
          <w:lang w:val="en-US" w:eastAsia="en-US"/>
        </w:rPr>
        <w:t xml:space="preserve">, religious </w:t>
      </w:r>
      <w:r w:rsidRPr="00AA6C90">
        <w:rPr>
          <w:rFonts w:eastAsiaTheme="minorHAnsi" w:cs="ITCGaramondStd-Bk"/>
          <w:lang w:val="en-US" w:eastAsia="en-US"/>
        </w:rPr>
        <w:t xml:space="preserve">and political practice. That preoccupation led </w:t>
      </w:r>
      <w:r>
        <w:rPr>
          <w:rFonts w:eastAsiaTheme="minorHAnsi" w:cs="ITCGaramondStd-Bk"/>
          <w:lang w:val="en-US" w:eastAsia="en-US"/>
        </w:rPr>
        <w:t xml:space="preserve">early modern </w:t>
      </w:r>
      <w:r w:rsidRPr="00AA6C90">
        <w:rPr>
          <w:rFonts w:eastAsiaTheme="minorHAnsi" w:cs="ITCGaramondStd-Bk"/>
          <w:lang w:val="en-US" w:eastAsia="en-US"/>
        </w:rPr>
        <w:t>European</w:t>
      </w:r>
      <w:r>
        <w:rPr>
          <w:rFonts w:eastAsiaTheme="minorHAnsi" w:cs="ITCGaramondStd-Bk"/>
          <w:lang w:val="en-US" w:eastAsia="en-US"/>
        </w:rPr>
        <w:t>s</w:t>
      </w:r>
      <w:r w:rsidRPr="00AA6C90">
        <w:rPr>
          <w:rFonts w:eastAsiaTheme="minorHAnsi" w:cs="ITCGaramondStd-Bk"/>
          <w:lang w:val="en-US" w:eastAsia="en-US"/>
        </w:rPr>
        <w:t xml:space="preserve"> to genealogical research and to making and using pedigrees and other documentary genres. These documents (</w:t>
      </w:r>
      <w:r w:rsidRPr="00AA6C90">
        <w:rPr>
          <w:lang w:val="en-US"/>
          <w14:ligatures w14:val="none"/>
        </w:rPr>
        <w:t xml:space="preserve">supporting what Daniel Woolf terms </w:t>
      </w:r>
      <w:r>
        <w:rPr>
          <w:lang w:val="en-US"/>
          <w14:ligatures w14:val="none"/>
        </w:rPr>
        <w:t>‘</w:t>
      </w:r>
      <w:r w:rsidRPr="00AA6C90">
        <w:rPr>
          <w:lang w:val="en-US"/>
          <w14:ligatures w14:val="none"/>
        </w:rPr>
        <w:t>the genealogical imagination</w:t>
      </w:r>
      <w:r>
        <w:rPr>
          <w:lang w:val="en-US"/>
          <w14:ligatures w14:val="none"/>
        </w:rPr>
        <w:t xml:space="preserve">’ </w:t>
      </w:r>
      <w:r w:rsidRPr="00AA6C90">
        <w:rPr>
          <w:vertAlign w:val="superscript"/>
          <w:lang w:val="en-US"/>
          <w14:ligatures w14:val="none"/>
        </w:rPr>
        <w:endnoteReference w:id="13"/>
      </w:r>
      <w:r w:rsidRPr="00AA6C90">
        <w:rPr>
          <w:lang w:val="en-US"/>
          <w14:ligatures w14:val="none"/>
        </w:rPr>
        <w:t>)</w:t>
      </w:r>
      <w:r w:rsidRPr="00AA6C90">
        <w:rPr>
          <w:sz w:val="24"/>
          <w:szCs w:val="24"/>
          <w:lang w:val="en-US"/>
          <w14:ligatures w14:val="none"/>
        </w:rPr>
        <w:t xml:space="preserve"> </w:t>
      </w:r>
      <w:r w:rsidRPr="00AA6C90">
        <w:rPr>
          <w:rFonts w:eastAsiaTheme="minorHAnsi" w:cs="ITCGaramondStd-Bk"/>
          <w:lang w:val="en-US" w:eastAsia="en-US"/>
        </w:rPr>
        <w:t>were normally stored in the family archives</w:t>
      </w:r>
      <w:r>
        <w:rPr>
          <w:rFonts w:eastAsiaTheme="minorHAnsi" w:cs="ITCGaramondStd-Bk"/>
          <w:lang w:val="en-US" w:eastAsia="en-US"/>
        </w:rPr>
        <w:t>. There they</w:t>
      </w:r>
      <w:r w:rsidRPr="00AA6C90">
        <w:rPr>
          <w:rFonts w:eastAsiaTheme="minorHAnsi" w:cs="ITCGaramondStd-Bk"/>
          <w:lang w:val="en-US" w:eastAsia="en-US"/>
        </w:rPr>
        <w:t xml:space="preserve"> </w:t>
      </w:r>
      <w:r>
        <w:rPr>
          <w:rFonts w:eastAsiaTheme="minorHAnsi" w:cs="ITCGaramondStd-Bk"/>
          <w:lang w:val="en-US" w:eastAsia="en-US"/>
        </w:rPr>
        <w:t>were intertwined (to use an expression by Alexandra Walsham</w:t>
      </w:r>
      <w:r>
        <w:rPr>
          <w:rStyle w:val="Eindnootmarkering"/>
          <w:rFonts w:eastAsiaTheme="minorHAnsi" w:cs="ITCGaramondStd-Bk"/>
          <w:lang w:val="en-US" w:eastAsia="en-US"/>
        </w:rPr>
        <w:endnoteReference w:id="14"/>
      </w:r>
      <w:r>
        <w:rPr>
          <w:rFonts w:eastAsiaTheme="minorHAnsi" w:cs="ITCGaramondStd-Bk"/>
          <w:lang w:val="en-US" w:eastAsia="en-US"/>
        </w:rPr>
        <w:t xml:space="preserve">) with </w:t>
      </w:r>
      <w:r w:rsidRPr="00AA6C90">
        <w:rPr>
          <w:rFonts w:eastAsiaTheme="minorHAnsi" w:cs="ITCGaramondStd-Bk"/>
          <w:lang w:val="en-US" w:eastAsia="en-US"/>
        </w:rPr>
        <w:t xml:space="preserve">the records created and received by family members in the course of business and kept as evidence for future reference. Only </w:t>
      </w:r>
      <w:r>
        <w:rPr>
          <w:rFonts w:eastAsiaTheme="minorHAnsi" w:cs="ITCGaramondStd-Bk"/>
          <w:lang w:val="en-US" w:eastAsia="en-US"/>
        </w:rPr>
        <w:t>subsequently</w:t>
      </w:r>
      <w:r w:rsidRPr="00AA6C90">
        <w:rPr>
          <w:rFonts w:eastAsiaTheme="minorHAnsi" w:cs="ITCGaramondStd-Bk"/>
          <w:lang w:val="en-US" w:eastAsia="en-US"/>
        </w:rPr>
        <w:t xml:space="preserve"> were these </w:t>
      </w:r>
      <w:r>
        <w:rPr>
          <w:rFonts w:eastAsiaTheme="minorHAnsi" w:cs="ITCGaramondStd-Bk"/>
          <w:lang w:val="en-US" w:eastAsia="en-US"/>
        </w:rPr>
        <w:t xml:space="preserve">legal and administrative </w:t>
      </w:r>
      <w:r w:rsidRPr="00AA6C90">
        <w:rPr>
          <w:rFonts w:eastAsiaTheme="minorHAnsi" w:cs="ITCGaramondStd-Bk"/>
          <w:lang w:val="en-US" w:eastAsia="en-US"/>
        </w:rPr>
        <w:t xml:space="preserve">archives transfigured by the </w:t>
      </w:r>
      <w:r>
        <w:rPr>
          <w:rFonts w:eastAsiaTheme="minorHAnsi" w:cs="ITCGaramondStd-Bk"/>
          <w:lang w:val="en-US" w:eastAsia="en-US"/>
        </w:rPr>
        <w:t>‘</w:t>
      </w:r>
      <w:r w:rsidRPr="00AA6C90">
        <w:rPr>
          <w:rFonts w:eastAsiaTheme="minorHAnsi" w:cs="ITCGaramondStd-Bk"/>
          <w:lang w:val="en-US" w:eastAsia="en-US"/>
        </w:rPr>
        <w:t>genealogical gaze</w:t>
      </w:r>
      <w:r>
        <w:rPr>
          <w:rFonts w:eastAsiaTheme="minorHAnsi" w:cs="ITCGaramondStd-Bk"/>
          <w:lang w:val="en-US" w:eastAsia="en-US"/>
        </w:rPr>
        <w:t>’</w:t>
      </w:r>
      <w:r w:rsidRPr="00AA6C90">
        <w:rPr>
          <w:rFonts w:eastAsiaTheme="minorHAnsi" w:cs="ITCGaramondStd-Bk"/>
          <w:lang w:val="en-US" w:eastAsia="en-US"/>
        </w:rPr>
        <w:t xml:space="preserve"> into a cultural patrimony to be preserved, expanded, and transferred to future generations.</w:t>
      </w:r>
      <w:r>
        <w:rPr>
          <w:rFonts w:eastAsiaTheme="minorHAnsi" w:cs="ITCGaramondStd-Bk"/>
          <w:lang w:val="en-US" w:eastAsia="en-US"/>
        </w:rPr>
        <w:t xml:space="preserve"> Perhaps ‘patrimonial gaze’ would be a better expression. Or ‘patrimony consciousness’, as Alexandra Walsham suggests. </w:t>
      </w:r>
    </w:p>
    <w:p w14:paraId="39E33F8F" w14:textId="77777777" w:rsidR="00686023" w:rsidRDefault="00686023" w:rsidP="004813F9">
      <w:pPr>
        <w:autoSpaceDE w:val="0"/>
        <w:autoSpaceDN w:val="0"/>
        <w:adjustRightInd w:val="0"/>
        <w:rPr>
          <w:rFonts w:eastAsiaTheme="minorHAnsi" w:cs="ITCGaramondStd-Bk"/>
          <w:lang w:val="en-US" w:eastAsia="en-US"/>
        </w:rPr>
      </w:pPr>
    </w:p>
    <w:p w14:paraId="3644EC34" w14:textId="13210B06" w:rsidR="00686023" w:rsidRPr="004813F9" w:rsidRDefault="00686023" w:rsidP="004813F9">
      <w:pPr>
        <w:autoSpaceDE w:val="0"/>
        <w:autoSpaceDN w:val="0"/>
        <w:adjustRightInd w:val="0"/>
        <w:rPr>
          <w:rFonts w:eastAsiaTheme="minorHAnsi" w:cs="ITCGaramondStd-Bk"/>
          <w:lang w:val="en-US" w:eastAsia="en-US"/>
        </w:rPr>
      </w:pPr>
      <w:r>
        <w:rPr>
          <w:rFonts w:eastAsiaTheme="minorHAnsi" w:cs="ITCGaramondStd-Bk"/>
          <w:lang w:val="en-US" w:eastAsia="en-US"/>
        </w:rPr>
        <w:t>The two conceptions of genealogical gaze (Friedrich’s creation, circulation and compilation of genealogical knowledge, and mine transforming archives into patrimony) are linked. Many families, after having acquired genealogical knowledge recorded and preserved in pedigrees, encyclopedias and other documentary forms, would also keep in their muniment room administrative and evidential archival genres.  Some of these would eventually be transfigured by the genealogical gaze. O</w:t>
      </w:r>
      <w:r w:rsidRPr="004813F9">
        <w:rPr>
          <w:rFonts w:eastAsiaTheme="minorHAnsi" w:cs="ITCGaramondStd-Bk"/>
          <w:lang w:val="en-US" w:eastAsia="en-US"/>
        </w:rPr>
        <w:t>ne genealogical gaze stimulat</w:t>
      </w:r>
      <w:r>
        <w:rPr>
          <w:rFonts w:eastAsiaTheme="minorHAnsi" w:cs="ITCGaramondStd-Bk"/>
          <w:lang w:val="en-US" w:eastAsia="en-US"/>
        </w:rPr>
        <w:t>ed</w:t>
      </w:r>
      <w:r w:rsidRPr="004813F9">
        <w:rPr>
          <w:rFonts w:eastAsiaTheme="minorHAnsi" w:cs="ITCGaramondStd-Bk"/>
          <w:lang w:val="en-US" w:eastAsia="en-US"/>
        </w:rPr>
        <w:t xml:space="preserve"> the other</w:t>
      </w:r>
      <w:r>
        <w:rPr>
          <w:rFonts w:eastAsiaTheme="minorHAnsi" w:cs="ITCGaramondStd-Bk"/>
          <w:lang w:val="en-US" w:eastAsia="en-US"/>
        </w:rPr>
        <w:t>. Hybrid forms were used too: for example by continuing their father’s account books, sons would convey ‘patrimonial continuity’, as  Imogen Peck recently wrote.</w:t>
      </w:r>
      <w:r>
        <w:rPr>
          <w:rStyle w:val="Eindnootmarkering"/>
          <w:rFonts w:eastAsiaTheme="minorHAnsi" w:cs="ITCGaramondStd-Bk"/>
          <w:lang w:val="en-US" w:eastAsia="en-US"/>
        </w:rPr>
        <w:endnoteReference w:id="15"/>
      </w:r>
      <w:r>
        <w:rPr>
          <w:rFonts w:eastAsiaTheme="minorHAnsi" w:cs="ITCGaramondStd-Bk"/>
          <w:lang w:val="en-US" w:eastAsia="en-US"/>
        </w:rPr>
        <w:t xml:space="preserve"> </w:t>
      </w:r>
    </w:p>
    <w:p w14:paraId="0D26624E" w14:textId="77777777" w:rsidR="00686023" w:rsidRPr="004813F9" w:rsidRDefault="00686023" w:rsidP="004813F9">
      <w:pPr>
        <w:autoSpaceDE w:val="0"/>
        <w:autoSpaceDN w:val="0"/>
        <w:adjustRightInd w:val="0"/>
        <w:rPr>
          <w:rFonts w:eastAsiaTheme="minorHAnsi" w:cs="ITCGaramondStd-Bk"/>
          <w:lang w:val="en-US" w:eastAsia="en-US"/>
        </w:rPr>
      </w:pPr>
      <w:r w:rsidRPr="004813F9">
        <w:rPr>
          <w:rFonts w:eastAsiaTheme="minorHAnsi" w:cs="ITCGaramondStd-Bk"/>
          <w:lang w:val="en-US" w:eastAsia="en-US"/>
        </w:rPr>
        <w:t xml:space="preserve"> </w:t>
      </w:r>
    </w:p>
    <w:p w14:paraId="1491801D" w14:textId="77777777" w:rsidR="00686023" w:rsidRDefault="00686023" w:rsidP="001F2D14">
      <w:pPr>
        <w:autoSpaceDE w:val="0"/>
        <w:autoSpaceDN w:val="0"/>
        <w:adjustRightInd w:val="0"/>
        <w:rPr>
          <w:rFonts w:eastAsiaTheme="minorHAnsi" w:cs="ITCGaramondStd-Bk"/>
          <w:lang w:val="en-US" w:eastAsia="en-US"/>
        </w:rPr>
      </w:pPr>
      <w:r w:rsidRPr="00E133BA">
        <w:rPr>
          <w:rFonts w:eastAsiaTheme="minorHAnsi" w:cs="ITCGaramondStd-Bk"/>
          <w:lang w:val="en-US" w:eastAsia="en-US"/>
        </w:rPr>
        <w:lastRenderedPageBreak/>
        <w:t xml:space="preserve">As I said, Maria </w:t>
      </w:r>
      <w:r>
        <w:rPr>
          <w:rFonts w:eastAsiaTheme="minorHAnsi" w:cs="ITCGaramondStd-Bk"/>
          <w:lang w:val="en-US" w:eastAsia="en-US"/>
        </w:rPr>
        <w:t xml:space="preserve">de </w:t>
      </w:r>
      <w:r w:rsidRPr="00E133BA">
        <w:rPr>
          <w:rFonts w:eastAsiaTheme="minorHAnsi" w:cs="ITCGaramondStd-Bk"/>
          <w:lang w:val="en-US" w:eastAsia="en-US"/>
        </w:rPr>
        <w:t xml:space="preserve">Lurdes Rosa introduced Portuguese scholars and practitioners to the concept of the genealogical gaze in </w:t>
      </w:r>
      <w:proofErr w:type="spellStart"/>
      <w:r w:rsidRPr="00E133BA">
        <w:rPr>
          <w:rFonts w:eastAsiaTheme="minorHAnsi" w:cs="ITCGaramondStd-Bk"/>
          <w:i/>
          <w:iCs/>
          <w:lang w:val="en-US" w:eastAsia="en-US"/>
        </w:rPr>
        <w:t>Arquivos</w:t>
      </w:r>
      <w:proofErr w:type="spellEnd"/>
      <w:r w:rsidRPr="00E133BA">
        <w:rPr>
          <w:rFonts w:eastAsiaTheme="minorHAnsi" w:cs="ITCGaramondStd-Bk"/>
          <w:i/>
          <w:iCs/>
          <w:lang w:val="en-US" w:eastAsia="en-US"/>
        </w:rPr>
        <w:t xml:space="preserve"> de </w:t>
      </w:r>
      <w:proofErr w:type="spellStart"/>
      <w:r w:rsidRPr="00E133BA">
        <w:rPr>
          <w:rFonts w:eastAsiaTheme="minorHAnsi" w:cs="ITCGaramondStd-Bk"/>
          <w:i/>
          <w:iCs/>
          <w:lang w:val="en-US" w:eastAsia="en-US"/>
        </w:rPr>
        <w:t>família</w:t>
      </w:r>
      <w:proofErr w:type="spellEnd"/>
      <w:r w:rsidRPr="00E133BA">
        <w:rPr>
          <w:rFonts w:eastAsiaTheme="minorHAnsi" w:cs="ITCGaramondStd-Bk"/>
          <w:lang w:val="en-US" w:eastAsia="en-US"/>
        </w:rPr>
        <w:t xml:space="preserve"> in 2012. That happened in the context of the renewed interest in and engagement with family archives.</w:t>
      </w:r>
      <w:r>
        <w:rPr>
          <w:rStyle w:val="Eindnootmarkering"/>
          <w:rFonts w:eastAsiaTheme="minorHAnsi" w:cs="ITCGaramondStd-Bk"/>
          <w:lang w:val="en-US" w:eastAsia="en-US"/>
        </w:rPr>
        <w:endnoteReference w:id="16"/>
      </w:r>
      <w:r w:rsidRPr="00E133BA">
        <w:rPr>
          <w:rFonts w:eastAsiaTheme="minorHAnsi" w:cs="ITCGaramondStd-Bk"/>
          <w:lang w:val="en-US" w:eastAsia="en-US"/>
        </w:rPr>
        <w:t xml:space="preserve"> </w:t>
      </w:r>
      <w:proofErr w:type="spellStart"/>
      <w:r w:rsidRPr="00E133BA">
        <w:rPr>
          <w:rFonts w:eastAsiaTheme="minorHAnsi" w:cs="ITCGaramondStd-Bk"/>
          <w:i/>
          <w:iCs/>
          <w:lang w:val="en-US" w:eastAsia="en-US"/>
        </w:rPr>
        <w:t>Arquivos</w:t>
      </w:r>
      <w:proofErr w:type="spellEnd"/>
      <w:r w:rsidRPr="00E133BA">
        <w:rPr>
          <w:rFonts w:eastAsiaTheme="minorHAnsi" w:cs="ITCGaramondStd-Bk"/>
          <w:i/>
          <w:iCs/>
          <w:lang w:val="en-US" w:eastAsia="en-US"/>
        </w:rPr>
        <w:t xml:space="preserve"> de </w:t>
      </w:r>
      <w:proofErr w:type="spellStart"/>
      <w:r w:rsidRPr="00E133BA">
        <w:rPr>
          <w:rFonts w:eastAsiaTheme="minorHAnsi" w:cs="ITCGaramondStd-Bk"/>
          <w:i/>
          <w:iCs/>
          <w:lang w:val="en-US" w:eastAsia="en-US"/>
        </w:rPr>
        <w:t>família</w:t>
      </w:r>
      <w:proofErr w:type="spellEnd"/>
      <w:r w:rsidRPr="00E133BA">
        <w:rPr>
          <w:rFonts w:eastAsiaTheme="minorHAnsi" w:cs="ITCGaramondStd-Bk"/>
          <w:lang w:val="en-US" w:eastAsia="en-US"/>
        </w:rPr>
        <w:t xml:space="preserve">, a book of more than seven hundred pages, predominantly covered family archives in Portugal, Spain, and Italy. The more than fifty case studies framed family archives in </w:t>
      </w:r>
      <w:proofErr w:type="spellStart"/>
      <w:r w:rsidRPr="00E133BA">
        <w:rPr>
          <w:rFonts w:eastAsiaTheme="minorHAnsi" w:cs="ITCGaramondStd-Bk"/>
          <w:lang w:val="en-US" w:eastAsia="en-US"/>
        </w:rPr>
        <w:t>patrimonialization</w:t>
      </w:r>
      <w:proofErr w:type="spellEnd"/>
      <w:r w:rsidRPr="00E133BA">
        <w:rPr>
          <w:rFonts w:eastAsiaTheme="minorHAnsi" w:cs="ITCGaramondStd-Bk"/>
          <w:lang w:val="en-US" w:eastAsia="en-US"/>
        </w:rPr>
        <w:t xml:space="preserve">, archiving and history. </w:t>
      </w:r>
    </w:p>
    <w:p w14:paraId="0962652A" w14:textId="77777777" w:rsidR="00686023" w:rsidRDefault="00686023" w:rsidP="001F2D14">
      <w:pPr>
        <w:autoSpaceDE w:val="0"/>
        <w:autoSpaceDN w:val="0"/>
        <w:adjustRightInd w:val="0"/>
        <w:rPr>
          <w:rFonts w:eastAsiaTheme="minorHAnsi" w:cs="ITCGaramondStd-Bk"/>
          <w:lang w:val="en-US" w:eastAsia="en-US"/>
        </w:rPr>
      </w:pPr>
    </w:p>
    <w:p w14:paraId="7CC0D7A9" w14:textId="0ECA1E07" w:rsidR="00686023" w:rsidRPr="00E133BA" w:rsidRDefault="00686023" w:rsidP="001F2D14">
      <w:pPr>
        <w:autoSpaceDE w:val="0"/>
        <w:autoSpaceDN w:val="0"/>
        <w:adjustRightInd w:val="0"/>
        <w:rPr>
          <w:rFonts w:eastAsiaTheme="minorHAnsi" w:cs="ITCGaramondStd-Bk"/>
          <w:lang w:val="en-US" w:eastAsia="en-US"/>
        </w:rPr>
      </w:pPr>
      <w:r w:rsidRPr="00E133BA">
        <w:rPr>
          <w:rFonts w:eastAsiaTheme="minorHAnsi" w:cs="ITCGaramondStd-Bk"/>
          <w:lang w:val="en-US" w:eastAsia="en-US"/>
        </w:rPr>
        <w:t>After 2012</w:t>
      </w:r>
      <w:r>
        <w:rPr>
          <w:rFonts w:eastAsiaTheme="minorHAnsi" w:cs="ITCGaramondStd-Bk"/>
          <w:lang w:val="en-US" w:eastAsia="en-US"/>
        </w:rPr>
        <w:t>,</w:t>
      </w:r>
      <w:r w:rsidRPr="00E133BA">
        <w:rPr>
          <w:rFonts w:eastAsiaTheme="minorHAnsi" w:cs="ITCGaramondStd-Bk"/>
          <w:lang w:val="en-US" w:eastAsia="en-US"/>
        </w:rPr>
        <w:t xml:space="preserve"> family archives stayed on the research agenda of universities and archival institutions, leading to </w:t>
      </w:r>
      <w:r>
        <w:rPr>
          <w:rFonts w:eastAsiaTheme="minorHAnsi" w:cs="ITCGaramondStd-Bk"/>
          <w:lang w:val="en-US" w:eastAsia="en-US"/>
        </w:rPr>
        <w:t>(</w:t>
      </w:r>
      <w:r w:rsidRPr="00E133BA">
        <w:rPr>
          <w:rFonts w:eastAsiaTheme="minorHAnsi" w:cs="ITCGaramondStd-Bk"/>
          <w:lang w:val="en-US" w:eastAsia="en-US"/>
        </w:rPr>
        <w:t>inter</w:t>
      </w:r>
      <w:r>
        <w:rPr>
          <w:rFonts w:eastAsiaTheme="minorHAnsi" w:cs="ITCGaramondStd-Bk"/>
          <w:lang w:val="en-US" w:eastAsia="en-US"/>
        </w:rPr>
        <w:t>)</w:t>
      </w:r>
      <w:r w:rsidRPr="00E133BA">
        <w:rPr>
          <w:rFonts w:eastAsiaTheme="minorHAnsi" w:cs="ITCGaramondStd-Bk"/>
          <w:lang w:val="en-US" w:eastAsia="en-US"/>
        </w:rPr>
        <w:t xml:space="preserve">national research projects, seminars, dissertations and numerous articles. Much of that research </w:t>
      </w:r>
      <w:r>
        <w:rPr>
          <w:rFonts w:eastAsiaTheme="minorHAnsi" w:cs="ITCGaramondStd-Bk"/>
          <w:lang w:val="en-US" w:eastAsia="en-US"/>
        </w:rPr>
        <w:t xml:space="preserve">on family archives </w:t>
      </w:r>
      <w:r w:rsidRPr="00E133BA">
        <w:rPr>
          <w:rFonts w:eastAsiaTheme="minorHAnsi" w:cs="ITCGaramondStd-Bk"/>
          <w:lang w:val="en-US" w:eastAsia="en-US"/>
        </w:rPr>
        <w:t xml:space="preserve">was carried out under the umbrella of </w:t>
      </w:r>
      <w:proofErr w:type="spellStart"/>
      <w:r w:rsidRPr="00EB30B9">
        <w:rPr>
          <w:rFonts w:eastAsiaTheme="minorHAnsi" w:cs="ITCGaramondStd-Bk"/>
          <w:i/>
          <w:iCs/>
          <w:lang w:val="en-US" w:eastAsia="en-US"/>
        </w:rPr>
        <w:t>Arquivistica</w:t>
      </w:r>
      <w:proofErr w:type="spellEnd"/>
      <w:r w:rsidRPr="00EB30B9">
        <w:rPr>
          <w:rFonts w:eastAsiaTheme="minorHAnsi" w:cs="ITCGaramondStd-Bk"/>
          <w:i/>
          <w:iCs/>
          <w:lang w:val="en-US" w:eastAsia="en-US"/>
        </w:rPr>
        <w:t xml:space="preserve"> </w:t>
      </w:r>
      <w:proofErr w:type="spellStart"/>
      <w:r w:rsidRPr="00EB30B9">
        <w:rPr>
          <w:rFonts w:eastAsiaTheme="minorHAnsi" w:cs="ITCGaramondStd-Bk"/>
          <w:i/>
          <w:iCs/>
          <w:lang w:val="en-US" w:eastAsia="en-US"/>
        </w:rPr>
        <w:t>Historica</w:t>
      </w:r>
      <w:proofErr w:type="spellEnd"/>
      <w:r w:rsidRPr="00E133BA">
        <w:rPr>
          <w:rFonts w:eastAsiaTheme="minorHAnsi" w:cs="ITCGaramondStd-Bk"/>
          <w:lang w:val="en-US" w:eastAsia="en-US"/>
        </w:rPr>
        <w:t xml:space="preserve">, </w:t>
      </w:r>
      <w:r w:rsidRPr="00E133BA">
        <w:rPr>
          <w:rFonts w:cs="Helvetica"/>
          <w:color w:val="333333"/>
          <w:shd w:val="clear" w:color="auto" w:fill="FFFFFF"/>
          <w:lang w:val="en-US"/>
        </w:rPr>
        <w:t xml:space="preserve">introduced by Maria </w:t>
      </w:r>
      <w:r>
        <w:rPr>
          <w:rFonts w:cs="Helvetica"/>
          <w:color w:val="333333"/>
          <w:shd w:val="clear" w:color="auto" w:fill="FFFFFF"/>
          <w:lang w:val="en-US"/>
        </w:rPr>
        <w:t xml:space="preserve">de </w:t>
      </w:r>
      <w:r w:rsidRPr="00E133BA">
        <w:rPr>
          <w:rFonts w:cs="Helvetica"/>
          <w:color w:val="333333"/>
          <w:shd w:val="clear" w:color="auto" w:fill="FFFFFF"/>
          <w:lang w:val="en-US"/>
        </w:rPr>
        <w:t xml:space="preserve">Lurdes Rosa in 2011/2012 at </w:t>
      </w:r>
      <w:r>
        <w:rPr>
          <w:rFonts w:cs="Helvetica"/>
          <w:color w:val="333333"/>
          <w:shd w:val="clear" w:color="auto" w:fill="FFFFFF"/>
          <w:lang w:val="en-US"/>
        </w:rPr>
        <w:t xml:space="preserve"> the </w:t>
      </w:r>
      <w:proofErr w:type="spellStart"/>
      <w:r w:rsidRPr="00E133BA">
        <w:rPr>
          <w:rFonts w:cs="Helvetica"/>
          <w:color w:val="333333"/>
          <w:shd w:val="clear" w:color="auto" w:fill="FFFFFF"/>
          <w:lang w:val="en-US"/>
        </w:rPr>
        <w:t>Universidade</w:t>
      </w:r>
      <w:proofErr w:type="spellEnd"/>
      <w:r w:rsidRPr="00E133BA">
        <w:rPr>
          <w:rFonts w:cs="Helvetica"/>
          <w:color w:val="333333"/>
          <w:shd w:val="clear" w:color="auto" w:fill="FFFFFF"/>
          <w:lang w:val="en-US"/>
        </w:rPr>
        <w:t xml:space="preserve"> Nova de Lisboa</w:t>
      </w:r>
      <w:r>
        <w:rPr>
          <w:rFonts w:cs="Helvetica"/>
          <w:color w:val="333333"/>
          <w:shd w:val="clear" w:color="auto" w:fill="FFFFFF"/>
          <w:lang w:val="en-US"/>
        </w:rPr>
        <w:t xml:space="preserve">, and </w:t>
      </w:r>
      <w:r w:rsidRPr="00E133BA">
        <w:rPr>
          <w:rFonts w:eastAsiaTheme="minorHAnsi" w:cs="ITCGaramondStd-Bk"/>
          <w:lang w:val="en-US" w:eastAsia="en-US"/>
        </w:rPr>
        <w:t xml:space="preserve">recognized as a subdiscipline of archivistics </w:t>
      </w:r>
      <w:r w:rsidRPr="00E133BA">
        <w:rPr>
          <w:rFonts w:cs="Arial"/>
          <w:color w:val="333333"/>
          <w:spacing w:val="2"/>
          <w:shd w:val="clear" w:color="auto" w:fill="FFFFFF"/>
          <w:lang w:val="en-US"/>
        </w:rPr>
        <w:t>in interdisciplinary conjunction with history and information science.</w:t>
      </w:r>
      <w:r>
        <w:rPr>
          <w:rStyle w:val="Eindnootmarkering"/>
          <w:rFonts w:cs="Arial"/>
          <w:color w:val="333333"/>
          <w:spacing w:val="2"/>
          <w:shd w:val="clear" w:color="auto" w:fill="FFFFFF"/>
          <w:lang w:val="en-US"/>
        </w:rPr>
        <w:endnoteReference w:id="17"/>
      </w:r>
      <w:r w:rsidRPr="00E133BA">
        <w:rPr>
          <w:rFonts w:cs="Arial"/>
          <w:color w:val="333333"/>
          <w:spacing w:val="2"/>
          <w:shd w:val="clear" w:color="auto" w:fill="FFFFFF"/>
          <w:lang w:val="en-US"/>
        </w:rPr>
        <w:t xml:space="preserve"> </w:t>
      </w:r>
    </w:p>
    <w:p w14:paraId="6576FEE1" w14:textId="77777777" w:rsidR="00686023" w:rsidRDefault="00686023" w:rsidP="001F2D14">
      <w:pPr>
        <w:autoSpaceDE w:val="0"/>
        <w:autoSpaceDN w:val="0"/>
        <w:adjustRightInd w:val="0"/>
        <w:rPr>
          <w:rFonts w:ascii="ITCGaramondStd-Bk" w:eastAsiaTheme="minorHAnsi" w:hAnsi="ITCGaramondStd-Bk" w:cs="ITCGaramondStd-Bk"/>
          <w:lang w:val="en-US" w:eastAsia="en-US"/>
        </w:rPr>
      </w:pPr>
    </w:p>
    <w:p w14:paraId="6656E3B5" w14:textId="77777777" w:rsidR="00686023" w:rsidRDefault="00686023" w:rsidP="00F3606B">
      <w:pPr>
        <w:autoSpaceDE w:val="0"/>
        <w:autoSpaceDN w:val="0"/>
        <w:adjustRightInd w:val="0"/>
        <w:rPr>
          <w:rFonts w:eastAsia="Calibri"/>
          <w:i/>
          <w:iCs/>
          <w:lang w:val="en-US" w:eastAsia="en-US"/>
        </w:rPr>
      </w:pPr>
      <w:r w:rsidRPr="00E133BA">
        <w:rPr>
          <w:rFonts w:eastAsiaTheme="minorHAnsi" w:cs="ITCGaramondStd-Bk"/>
          <w:lang w:val="en-US" w:eastAsia="en-US"/>
        </w:rPr>
        <w:t xml:space="preserve">In 2019 a new milestone was reached with the book </w:t>
      </w:r>
      <w:r w:rsidRPr="00E133BA">
        <w:rPr>
          <w:rFonts w:eastAsia="Calibri"/>
          <w:i/>
          <w:iCs/>
          <w:lang w:val="en-US" w:eastAsia="en-US"/>
        </w:rPr>
        <w:t xml:space="preserve">Recovered voices, newfound </w:t>
      </w:r>
    </w:p>
    <w:p w14:paraId="6A001970" w14:textId="1C119321" w:rsidR="00686023" w:rsidRDefault="00686023" w:rsidP="00643853">
      <w:pPr>
        <w:rPr>
          <w:rFonts w:eastAsiaTheme="minorHAnsi" w:cs="ITCGaramondStd-Bk"/>
          <w:lang w:val="en-GB" w:eastAsia="en-US"/>
        </w:rPr>
      </w:pPr>
      <w:r w:rsidRPr="00E133BA">
        <w:rPr>
          <w:rFonts w:eastAsia="Calibri"/>
          <w:i/>
          <w:iCs/>
          <w:lang w:val="en-US" w:eastAsia="en-US"/>
        </w:rPr>
        <w:t>questions. F</w:t>
      </w:r>
      <w:proofErr w:type="spellStart"/>
      <w:r w:rsidRPr="00E133BA">
        <w:rPr>
          <w:rFonts w:eastAsia="Calibri"/>
          <w:i/>
          <w:iCs/>
          <w:lang w:val="en-GB" w:eastAsia="en-US"/>
        </w:rPr>
        <w:t>amily</w:t>
      </w:r>
      <w:proofErr w:type="spellEnd"/>
      <w:r w:rsidRPr="00E133BA">
        <w:rPr>
          <w:rFonts w:eastAsia="Calibri"/>
          <w:i/>
          <w:iCs/>
          <w:lang w:val="en-GB" w:eastAsia="en-US"/>
        </w:rPr>
        <w:t xml:space="preserve"> archives and historical research</w:t>
      </w:r>
      <w:r w:rsidRPr="00E133BA">
        <w:rPr>
          <w:rFonts w:eastAsiaTheme="minorHAnsi" w:cs="ITCGaramondStd-Bk"/>
          <w:lang w:val="en-GB" w:eastAsia="en-US"/>
        </w:rPr>
        <w:t>.</w:t>
      </w:r>
      <w:r w:rsidRPr="00E133BA">
        <w:rPr>
          <w:rStyle w:val="Eindnootmarkering"/>
          <w:rFonts w:eastAsiaTheme="minorHAnsi" w:cs="ITCGaramondStd-Bk"/>
          <w:lang w:val="en-GB" w:eastAsia="en-US"/>
        </w:rPr>
        <w:endnoteReference w:id="18"/>
      </w:r>
      <w:r w:rsidRPr="00E133BA">
        <w:rPr>
          <w:rFonts w:eastAsiaTheme="minorHAnsi" w:cs="ITCGaramondStd-Bk"/>
          <w:lang w:val="en-GB" w:eastAsia="en-US"/>
        </w:rPr>
        <w:t xml:space="preserve"> The book was to be launched on 6 April 2020 at a seminar connected to the VINCULUM project. However, the seminar was cancelled because of the pandemic. I am glad that I archived the speech </w:t>
      </w:r>
      <w:r>
        <w:rPr>
          <w:rFonts w:eastAsiaTheme="minorHAnsi" w:cs="ITCGaramondStd-Bk"/>
          <w:lang w:val="en-GB" w:eastAsia="en-US"/>
        </w:rPr>
        <w:t xml:space="preserve">and the slides </w:t>
      </w:r>
      <w:r w:rsidRPr="00E133BA">
        <w:rPr>
          <w:rFonts w:eastAsiaTheme="minorHAnsi" w:cs="ITCGaramondStd-Bk"/>
          <w:lang w:val="en-GB" w:eastAsia="en-US"/>
        </w:rPr>
        <w:t xml:space="preserve">I had prepared, and which form the basis of my presentation today. </w:t>
      </w:r>
    </w:p>
    <w:p w14:paraId="546A234D" w14:textId="77777777" w:rsidR="00686023" w:rsidRDefault="00686023" w:rsidP="00DE6921">
      <w:pPr>
        <w:ind w:left="502"/>
        <w:rPr>
          <w:rFonts w:eastAsiaTheme="minorHAnsi" w:cs="ITCGaramondStd-Bk"/>
          <w:lang w:val="en-GB" w:eastAsia="en-US"/>
        </w:rPr>
      </w:pPr>
    </w:p>
    <w:p w14:paraId="360C38D1" w14:textId="77777777" w:rsidR="00686023" w:rsidRDefault="00686023" w:rsidP="00AC614D">
      <w:pPr>
        <w:autoSpaceDE w:val="0"/>
        <w:autoSpaceDN w:val="0"/>
        <w:adjustRightInd w:val="0"/>
        <w:rPr>
          <w:lang w:val="fr-FR"/>
        </w:rPr>
      </w:pPr>
      <w:r>
        <w:rPr>
          <w:rFonts w:eastAsiaTheme="minorHAnsi" w:cs="ITCGaramondStd-Bk"/>
          <w:lang w:val="en-GB" w:eastAsia="en-US"/>
        </w:rPr>
        <w:t xml:space="preserve">In 2019 </w:t>
      </w:r>
      <w:r w:rsidRPr="00CF517A">
        <w:rPr>
          <w:lang w:val="en-US"/>
        </w:rPr>
        <w:t xml:space="preserve">Maria de Lurdes Rosa </w:t>
      </w:r>
      <w:r>
        <w:rPr>
          <w:lang w:val="en-US"/>
        </w:rPr>
        <w:t xml:space="preserve">contributed a chapter to </w:t>
      </w:r>
      <w:r w:rsidRPr="00DE6921">
        <w:rPr>
          <w:lang w:val="en-US"/>
        </w:rPr>
        <w:t>Eickmeyer, Friedrich, and Bauer, </w:t>
      </w:r>
      <w:r w:rsidRPr="00DE6921">
        <w:rPr>
          <w:i/>
          <w:iCs/>
          <w:lang w:val="en-US"/>
        </w:rPr>
        <w:t>Genealogical knowledge in the making: tools, practices, and evidence in early modern Europe</w:t>
      </w:r>
      <w:r w:rsidRPr="00DE6921">
        <w:rPr>
          <w:lang w:val="en-US"/>
        </w:rPr>
        <w:t>.</w:t>
      </w:r>
      <w:r>
        <w:rPr>
          <w:rStyle w:val="Eindnootmarkering"/>
          <w:lang w:val="en-US"/>
        </w:rPr>
        <w:endnoteReference w:id="19"/>
      </w:r>
      <w:r>
        <w:rPr>
          <w:lang w:val="en-US"/>
        </w:rPr>
        <w:t xml:space="preserve"> </w:t>
      </w:r>
      <w:r w:rsidRPr="00B26DD0">
        <w:rPr>
          <w:lang w:val="fr-FR"/>
        </w:rPr>
        <w:t xml:space="preserve">In 2021 and 2022 Maria </w:t>
      </w:r>
      <w:proofErr w:type="spellStart"/>
      <w:r w:rsidRPr="00B26DD0">
        <w:rPr>
          <w:lang w:val="fr-FR"/>
        </w:rPr>
        <w:t>published</w:t>
      </w:r>
      <w:proofErr w:type="spellEnd"/>
      <w:r w:rsidRPr="00B26DD0">
        <w:rPr>
          <w:lang w:val="fr-FR"/>
        </w:rPr>
        <w:t xml:space="preserve"> a short introduction to a collection of </w:t>
      </w:r>
      <w:proofErr w:type="spellStart"/>
      <w:r w:rsidRPr="00B26DD0">
        <w:rPr>
          <w:lang w:val="fr-FR"/>
        </w:rPr>
        <w:t>paper</w:t>
      </w:r>
      <w:r>
        <w:rPr>
          <w:lang w:val="fr-FR"/>
        </w:rPr>
        <w:t>s</w:t>
      </w:r>
      <w:proofErr w:type="spellEnd"/>
      <w:r w:rsidRPr="00B26DD0">
        <w:rPr>
          <w:lang w:val="fr-FR"/>
        </w:rPr>
        <w:t xml:space="preserve"> </w:t>
      </w:r>
      <w:r w:rsidRPr="00B26DD0">
        <w:rPr>
          <w:i/>
          <w:iCs/>
          <w:lang w:val="fr-FR"/>
        </w:rPr>
        <w:t>Les archives familiales dans l’occident médiéval et moderne: trésor, arsenal, mémorial</w:t>
      </w:r>
      <w:r w:rsidRPr="00B26DD0">
        <w:rPr>
          <w:lang w:val="fr-FR"/>
        </w:rPr>
        <w:t xml:space="preserve">, </w:t>
      </w:r>
      <w:proofErr w:type="spellStart"/>
      <w:r w:rsidRPr="00B26DD0">
        <w:rPr>
          <w:lang w:val="fr-FR"/>
        </w:rPr>
        <w:t>followed</w:t>
      </w:r>
      <w:proofErr w:type="spellEnd"/>
      <w:r w:rsidRPr="00B26DD0">
        <w:rPr>
          <w:lang w:val="fr-FR"/>
        </w:rPr>
        <w:t xml:space="preserve"> by a </w:t>
      </w:r>
      <w:proofErr w:type="spellStart"/>
      <w:r w:rsidRPr="00B26DD0">
        <w:rPr>
          <w:lang w:val="fr-FR"/>
        </w:rPr>
        <w:t>paper</w:t>
      </w:r>
      <w:proofErr w:type="spellEnd"/>
      <w:r w:rsidRPr="00B26DD0">
        <w:rPr>
          <w:lang w:val="fr-FR"/>
        </w:rPr>
        <w:t xml:space="preserve"> </w:t>
      </w:r>
      <w:r w:rsidRPr="00B26DD0">
        <w:rPr>
          <w:i/>
          <w:iCs/>
          <w:lang w:val="fr-FR"/>
        </w:rPr>
        <w:t>Ouvertures et fermetures des archives de famille, XIVe–XXIe: siècles</w:t>
      </w:r>
      <w:r w:rsidRPr="004564B4">
        <w:rPr>
          <w:lang w:val="fr-FR"/>
        </w:rPr>
        <w:t>.</w:t>
      </w:r>
      <w:r>
        <w:rPr>
          <w:rStyle w:val="Eindnootmarkering"/>
          <w:lang w:val="fr-FR"/>
        </w:rPr>
        <w:endnoteReference w:id="20"/>
      </w:r>
      <w:r>
        <w:rPr>
          <w:lang w:val="fr-FR"/>
        </w:rPr>
        <w:t xml:space="preserve"> </w:t>
      </w:r>
    </w:p>
    <w:p w14:paraId="46D818BE" w14:textId="77777777" w:rsidR="00686023" w:rsidRDefault="00686023" w:rsidP="00AC614D">
      <w:pPr>
        <w:autoSpaceDE w:val="0"/>
        <w:autoSpaceDN w:val="0"/>
        <w:adjustRightInd w:val="0"/>
        <w:rPr>
          <w:lang w:val="fr-FR"/>
        </w:rPr>
      </w:pPr>
    </w:p>
    <w:p w14:paraId="73796C33" w14:textId="25AE6C67" w:rsidR="00686023" w:rsidRPr="00A81A4A" w:rsidRDefault="00686023" w:rsidP="00AC614D">
      <w:pPr>
        <w:autoSpaceDE w:val="0"/>
        <w:autoSpaceDN w:val="0"/>
        <w:adjustRightInd w:val="0"/>
        <w:rPr>
          <w:lang w:val="en-US"/>
        </w:rPr>
      </w:pPr>
      <w:r w:rsidRPr="00F04B5A">
        <w:rPr>
          <w:lang w:val="en-US"/>
        </w:rPr>
        <w:t>Al</w:t>
      </w:r>
      <w:r>
        <w:rPr>
          <w:lang w:val="en-US"/>
        </w:rPr>
        <w:t xml:space="preserve">though not specifically focusing on the </w:t>
      </w:r>
      <w:r w:rsidRPr="00DA579B">
        <w:rPr>
          <w:u w:val="single"/>
          <w:lang w:val="en-US"/>
        </w:rPr>
        <w:t>history</w:t>
      </w:r>
      <w:r>
        <w:rPr>
          <w:lang w:val="en-US"/>
        </w:rPr>
        <w:t xml:space="preserve"> of family archives, a</w:t>
      </w:r>
      <w:r w:rsidRPr="00F04B5A">
        <w:rPr>
          <w:lang w:val="en-US"/>
        </w:rPr>
        <w:t xml:space="preserve"> useful </w:t>
      </w:r>
      <w:r>
        <w:rPr>
          <w:lang w:val="en-US"/>
        </w:rPr>
        <w:t xml:space="preserve">overview and </w:t>
      </w:r>
      <w:r w:rsidRPr="00F04B5A">
        <w:rPr>
          <w:lang w:val="en-US"/>
        </w:rPr>
        <w:t xml:space="preserve">bibliography </w:t>
      </w:r>
      <w:r>
        <w:rPr>
          <w:lang w:val="en-US"/>
        </w:rPr>
        <w:t xml:space="preserve">of research on family archives was published in 2017 - a fruit of the UK </w:t>
      </w:r>
      <w:r w:rsidRPr="00F04B5A">
        <w:rPr>
          <w:lang w:val="en-US"/>
        </w:rPr>
        <w:t xml:space="preserve">research project </w:t>
      </w:r>
      <w:r>
        <w:rPr>
          <w:lang w:val="en-US"/>
        </w:rPr>
        <w:t>‘</w:t>
      </w:r>
      <w:r w:rsidRPr="00F04B5A">
        <w:rPr>
          <w:lang w:val="en-US"/>
        </w:rPr>
        <w:t>The Family Archive: Exploring Family Identities, Memories and Stories through Curated Personal Possessions</w:t>
      </w:r>
      <w:r>
        <w:rPr>
          <w:lang w:val="en-US"/>
        </w:rPr>
        <w:t>.’</w:t>
      </w:r>
      <w:r>
        <w:rPr>
          <w:rStyle w:val="Eindnootmarkering"/>
          <w:lang w:val="en-US"/>
        </w:rPr>
        <w:endnoteReference w:id="21"/>
      </w:r>
      <w:r>
        <w:rPr>
          <w:lang w:val="en-US"/>
        </w:rPr>
        <w:t xml:space="preserve"> </w:t>
      </w:r>
      <w:r w:rsidRPr="00AC614D">
        <w:rPr>
          <w:lang w:val="fr-FR"/>
        </w:rPr>
        <w:t xml:space="preserve">The multinational </w:t>
      </w:r>
      <w:proofErr w:type="spellStart"/>
      <w:r w:rsidRPr="00AC614D">
        <w:rPr>
          <w:lang w:val="fr-FR"/>
        </w:rPr>
        <w:t>project</w:t>
      </w:r>
      <w:proofErr w:type="spellEnd"/>
      <w:r w:rsidRPr="00AC614D">
        <w:rPr>
          <w:lang w:val="fr-FR"/>
        </w:rPr>
        <w:t xml:space="preserve"> </w:t>
      </w:r>
      <w:proofErr w:type="spellStart"/>
      <w:r w:rsidRPr="00AC614D">
        <w:rPr>
          <w:lang w:val="fr-FR"/>
        </w:rPr>
        <w:t>Archifam</w:t>
      </w:r>
      <w:proofErr w:type="spellEnd"/>
      <w:r w:rsidRPr="00AC614D">
        <w:rPr>
          <w:lang w:val="fr-FR"/>
        </w:rPr>
        <w:t xml:space="preserve"> (2013-2015) </w:t>
      </w:r>
      <w:proofErr w:type="spellStart"/>
      <w:r w:rsidRPr="00AC614D">
        <w:rPr>
          <w:lang w:val="fr-FR"/>
        </w:rPr>
        <w:t>yielded</w:t>
      </w:r>
      <w:proofErr w:type="spellEnd"/>
      <w:r w:rsidRPr="00AC614D">
        <w:rPr>
          <w:lang w:val="fr-FR"/>
        </w:rPr>
        <w:t xml:space="preserve"> in 2021 the volume </w:t>
      </w:r>
      <w:r w:rsidRPr="00AC614D">
        <w:rPr>
          <w:i/>
          <w:iCs/>
          <w:lang w:val="fr-FR"/>
        </w:rPr>
        <w:t xml:space="preserve">Les archives familiales dans l’occident médiéval et moderne. </w:t>
      </w:r>
      <w:r w:rsidRPr="00A81A4A">
        <w:rPr>
          <w:i/>
          <w:iCs/>
          <w:lang w:val="en-US"/>
        </w:rPr>
        <w:t xml:space="preserve">Trésor, arsenal, </w:t>
      </w:r>
      <w:proofErr w:type="spellStart"/>
      <w:r w:rsidRPr="00A81A4A">
        <w:rPr>
          <w:i/>
          <w:iCs/>
          <w:lang w:val="en-US"/>
        </w:rPr>
        <w:t>mémorial</w:t>
      </w:r>
      <w:proofErr w:type="spellEnd"/>
      <w:r w:rsidRPr="00A81A4A">
        <w:rPr>
          <w:lang w:val="en-US"/>
        </w:rPr>
        <w:t>, edited by Véronique Lamazou-Duplan</w:t>
      </w:r>
      <w:r>
        <w:rPr>
          <w:lang w:val="en-US"/>
        </w:rPr>
        <w:t>.</w:t>
      </w:r>
      <w:r>
        <w:rPr>
          <w:rStyle w:val="Eindnootmarkering"/>
          <w:lang w:val="fr-FR"/>
        </w:rPr>
        <w:endnoteReference w:id="22"/>
      </w:r>
      <w:r w:rsidRPr="00A81A4A">
        <w:rPr>
          <w:lang w:val="en-US"/>
        </w:rPr>
        <w:t xml:space="preserve"> </w:t>
      </w:r>
      <w:r w:rsidRPr="00AC614D">
        <w:rPr>
          <w:lang w:val="en-US"/>
        </w:rPr>
        <w:t xml:space="preserve">The book contains 39 papers, </w:t>
      </w:r>
      <w:r>
        <w:rPr>
          <w:lang w:val="en-US"/>
        </w:rPr>
        <w:t xml:space="preserve">a part of these based on doctorate research and theses. Universities in Portugal, Spain and France worked together with archival institutions and with owners of family archives to produce this magnificent result. </w:t>
      </w:r>
    </w:p>
    <w:p w14:paraId="1CF47DCB" w14:textId="0BDE2AB9" w:rsidR="00686023" w:rsidRPr="00AC614D" w:rsidRDefault="00686023" w:rsidP="00643853">
      <w:pPr>
        <w:rPr>
          <w:lang w:val="en-US"/>
        </w:rPr>
      </w:pPr>
    </w:p>
    <w:p w14:paraId="6BD8A058" w14:textId="3560FDC4" w:rsidR="00686023" w:rsidRPr="000B1B68" w:rsidRDefault="00686023" w:rsidP="00643853">
      <w:pPr>
        <w:rPr>
          <w:lang w:val="en-GB"/>
        </w:rPr>
      </w:pPr>
      <w:r w:rsidRPr="009571DE">
        <w:rPr>
          <w:lang w:val="en-US"/>
        </w:rPr>
        <w:t xml:space="preserve">In concluding </w:t>
      </w:r>
      <w:r w:rsidRPr="009571DE">
        <w:rPr>
          <w:i/>
          <w:iCs/>
          <w:lang w:val="en-US"/>
        </w:rPr>
        <w:t>The Genealogical Gaze</w:t>
      </w:r>
      <w:r w:rsidRPr="009571DE">
        <w:rPr>
          <w:lang w:val="en-US"/>
        </w:rPr>
        <w:t xml:space="preserve"> I suggested that we use our understanding of the past in discussing current and future concerns of the archival </w:t>
      </w:r>
      <w:proofErr w:type="spellStart"/>
      <w:r w:rsidRPr="009571DE">
        <w:rPr>
          <w:lang w:val="en-US"/>
        </w:rPr>
        <w:t>endeavour</w:t>
      </w:r>
      <w:proofErr w:type="spellEnd"/>
      <w:r w:rsidRPr="009571DE">
        <w:rPr>
          <w:lang w:val="en-US"/>
        </w:rPr>
        <w:t xml:space="preserve">. </w:t>
      </w:r>
      <w:r w:rsidRPr="009571DE">
        <w:rPr>
          <w:lang w:val="en-GB"/>
        </w:rPr>
        <w:t xml:space="preserve">To what extent, I asked, are records constructive in creating and maintaining memories, communities, and identities of individuals, families, corporate bodies, social groups, nations? </w:t>
      </w:r>
      <w:r>
        <w:rPr>
          <w:lang w:val="en-GB"/>
        </w:rPr>
        <w:t>These</w:t>
      </w:r>
      <w:r w:rsidRPr="009571DE">
        <w:rPr>
          <w:lang w:val="en-GB"/>
        </w:rPr>
        <w:t xml:space="preserve"> are political questions but also questions that determine the agenda for research in archivistics: historical, comparative, future-oriented research.</w:t>
      </w:r>
      <w:r>
        <w:rPr>
          <w:lang w:val="en-GB"/>
        </w:rPr>
        <w:t xml:space="preserve"> A lot of that agenda has been implemented in the past fifteen years. Essential and influential was the involvement of the community of scholars in archivistics in Portugal, reaching out to colleagues in other countries. </w:t>
      </w:r>
      <w:bookmarkStart w:id="8" w:name="_Hlk163459414"/>
      <w:r>
        <w:rPr>
          <w:lang w:val="en-GB"/>
        </w:rPr>
        <w:t>Still, the research agenda is as yet not fully depleted, as will become clear during this conference. As a start I may suggest some topics and methodologies which might enrich our understanding of family archives.</w:t>
      </w:r>
      <w:bookmarkEnd w:id="8"/>
      <w:r>
        <w:rPr>
          <w:lang w:val="en-GB"/>
        </w:rPr>
        <w:t xml:space="preserve"> </w:t>
      </w:r>
    </w:p>
    <w:p w14:paraId="1F6B2BAC" w14:textId="77777777" w:rsidR="00686023" w:rsidRPr="009571DE" w:rsidRDefault="00686023" w:rsidP="00D64D4E">
      <w:pPr>
        <w:ind w:firstLine="502"/>
        <w:rPr>
          <w:lang w:val="en-US"/>
        </w:rPr>
      </w:pPr>
    </w:p>
    <w:p w14:paraId="50F1F0A7" w14:textId="77777777" w:rsidR="00686023" w:rsidRPr="00F60B02" w:rsidRDefault="00686023" w:rsidP="00670C2D">
      <w:pPr>
        <w:rPr>
          <w:u w:val="single"/>
          <w:lang w:val="en-US"/>
        </w:rPr>
      </w:pPr>
      <w:r w:rsidRPr="00F60B02">
        <w:rPr>
          <w:u w:val="single"/>
          <w:lang w:val="en-US"/>
        </w:rPr>
        <w:t>Frameworks of memory</w:t>
      </w:r>
    </w:p>
    <w:p w14:paraId="53311DEF" w14:textId="77777777" w:rsidR="00686023" w:rsidRDefault="00686023" w:rsidP="00670C2D">
      <w:pPr>
        <w:rPr>
          <w:lang w:val="en-US"/>
        </w:rPr>
      </w:pPr>
    </w:p>
    <w:p w14:paraId="23D86E21" w14:textId="76A77911" w:rsidR="00686023" w:rsidRPr="009571DE" w:rsidRDefault="00686023" w:rsidP="00670C2D">
      <w:pPr>
        <w:rPr>
          <w:rFonts w:eastAsia="Calibri"/>
          <w:lang w:val="en-GB"/>
        </w:rPr>
      </w:pPr>
      <w:r w:rsidRPr="009571DE">
        <w:rPr>
          <w:lang w:val="en-US"/>
        </w:rPr>
        <w:t xml:space="preserve">In my article I quoted the French anthropologist and ethnologist Françoise </w:t>
      </w:r>
      <w:proofErr w:type="spellStart"/>
      <w:r w:rsidRPr="009571DE">
        <w:rPr>
          <w:lang w:val="en-US"/>
        </w:rPr>
        <w:t>Zonabend</w:t>
      </w:r>
      <w:proofErr w:type="spellEnd"/>
      <w:r w:rsidRPr="009571DE">
        <w:rPr>
          <w:lang w:val="en-US"/>
        </w:rPr>
        <w:t xml:space="preserve">. Every person, she writes, </w:t>
      </w:r>
      <w:r>
        <w:rPr>
          <w:lang w:val="en-US"/>
        </w:rPr>
        <w:t>‘</w:t>
      </w:r>
      <w:r w:rsidRPr="009571DE">
        <w:rPr>
          <w:lang w:val="en-US"/>
        </w:rPr>
        <w:t>is fixed in a genealogical network in space and time, where past and present, kindred and community are intermingled. Each individual is set first and foremost in a time determined through the family.</w:t>
      </w:r>
      <w:r>
        <w:rPr>
          <w:lang w:val="en-US"/>
        </w:rPr>
        <w:t>’</w:t>
      </w:r>
      <w:r w:rsidRPr="009571DE">
        <w:rPr>
          <w:rStyle w:val="Eindnootmarkering"/>
          <w:rFonts w:eastAsiaTheme="majorEastAsia"/>
          <w:lang w:val="en-US"/>
        </w:rPr>
        <w:endnoteReference w:id="23"/>
      </w:r>
      <w:r w:rsidRPr="009571DE">
        <w:rPr>
          <w:lang w:val="en-US"/>
        </w:rPr>
        <w:t xml:space="preserve"> This is what the </w:t>
      </w:r>
      <w:r>
        <w:rPr>
          <w:lang w:val="en-US"/>
        </w:rPr>
        <w:t>‘</w:t>
      </w:r>
      <w:r w:rsidRPr="009571DE">
        <w:rPr>
          <w:lang w:val="en-US"/>
        </w:rPr>
        <w:t>father of sociology</w:t>
      </w:r>
      <w:r>
        <w:rPr>
          <w:lang w:val="en-US"/>
        </w:rPr>
        <w:t>’</w:t>
      </w:r>
      <w:r w:rsidRPr="009571DE">
        <w:rPr>
          <w:lang w:val="en-US"/>
        </w:rPr>
        <w:t xml:space="preserve"> Maurice Halbwachs argued.</w:t>
      </w:r>
      <w:r>
        <w:rPr>
          <w:rStyle w:val="Eindnootmarkering"/>
          <w:lang w:val="en-US"/>
        </w:rPr>
        <w:endnoteReference w:id="24"/>
      </w:r>
      <w:r w:rsidRPr="009571DE">
        <w:rPr>
          <w:lang w:val="en-US"/>
        </w:rPr>
        <w:t xml:space="preserve"> </w:t>
      </w:r>
      <w:r w:rsidRPr="009571DE">
        <w:rPr>
          <w:rFonts w:eastAsia="Calibri"/>
          <w:lang w:val="en-GB"/>
        </w:rPr>
        <w:t xml:space="preserve">The first social framework of any individual’s memories is constituted by his or her family. Personal memory (remembrance of what </w:t>
      </w:r>
      <w:r w:rsidRPr="009571DE">
        <w:rPr>
          <w:rFonts w:eastAsia="Calibri"/>
          <w:lang w:val="en-GB"/>
        </w:rPr>
        <w:lastRenderedPageBreak/>
        <w:t xml:space="preserve">one has experienced) is not sealed off from other people’s remembrances, from what </w:t>
      </w:r>
      <w:proofErr w:type="spellStart"/>
      <w:r w:rsidRPr="009571DE">
        <w:rPr>
          <w:rFonts w:eastAsia="Calibri"/>
          <w:lang w:val="en-GB"/>
        </w:rPr>
        <w:t>Halbwachs</w:t>
      </w:r>
      <w:proofErr w:type="spellEnd"/>
      <w:r w:rsidRPr="009571DE">
        <w:rPr>
          <w:rFonts w:eastAsia="Calibri"/>
          <w:lang w:val="en-GB"/>
        </w:rPr>
        <w:t xml:space="preserve"> called social or historical memory</w:t>
      </w:r>
      <w:r>
        <w:rPr>
          <w:rFonts w:eastAsia="Calibri"/>
          <w:lang w:val="en-GB"/>
        </w:rPr>
        <w:t>.</w:t>
      </w:r>
      <w:r w:rsidRPr="009571DE">
        <w:rPr>
          <w:rFonts w:eastAsia="Calibri"/>
          <w:lang w:val="en-GB"/>
        </w:rPr>
        <w:t xml:space="preserve"> The family too, has a memory: as with any other collective group the family has ‘its memories which it alone commemorates, and its secrets that are revealed only to its members.</w:t>
      </w:r>
      <w:r>
        <w:rPr>
          <w:rFonts w:eastAsia="Calibri"/>
          <w:lang w:val="en-GB"/>
        </w:rPr>
        <w:t>’</w:t>
      </w:r>
      <w:r>
        <w:rPr>
          <w:rStyle w:val="Eindnootmarkering"/>
          <w:rFonts w:eastAsia="Calibri"/>
          <w:lang w:val="en-GB"/>
        </w:rPr>
        <w:endnoteReference w:id="25"/>
      </w:r>
      <w:r w:rsidRPr="009571DE">
        <w:rPr>
          <w:rFonts w:eastAsia="Calibri"/>
          <w:lang w:val="en-GB"/>
        </w:rPr>
        <w:t xml:space="preserve"> However, family memory is embedded in (and permeated by) larger frameworks of kinship, local and regional memories, religion, nation, etc. </w:t>
      </w:r>
      <w:proofErr w:type="spellStart"/>
      <w:r w:rsidRPr="009571DE">
        <w:rPr>
          <w:rFonts w:eastAsia="Calibri"/>
          <w:lang w:val="en-GB"/>
        </w:rPr>
        <w:t>Halbwachs</w:t>
      </w:r>
      <w:proofErr w:type="spellEnd"/>
      <w:r w:rsidRPr="009571DE">
        <w:rPr>
          <w:rFonts w:eastAsia="Calibri"/>
          <w:lang w:val="en-GB"/>
        </w:rPr>
        <w:t xml:space="preserve"> therefore discussed the collective memory of the family first, before he went on to describe religious collective memory and that of social classes.</w:t>
      </w:r>
      <w:r>
        <w:rPr>
          <w:rFonts w:eastAsia="Calibri"/>
          <w:lang w:val="en-GB"/>
        </w:rPr>
        <w:t xml:space="preserve"> </w:t>
      </w:r>
    </w:p>
    <w:p w14:paraId="109C2409" w14:textId="77777777" w:rsidR="00686023" w:rsidRPr="009571DE" w:rsidRDefault="00686023" w:rsidP="00670C2D">
      <w:pPr>
        <w:rPr>
          <w:rFonts w:eastAsia="Calibri"/>
          <w:lang w:val="en-GB"/>
        </w:rPr>
      </w:pPr>
    </w:p>
    <w:p w14:paraId="548A266B" w14:textId="6B2E5C42" w:rsidR="00686023" w:rsidRPr="009571DE" w:rsidRDefault="00686023" w:rsidP="00227B6C">
      <w:pPr>
        <w:rPr>
          <w:lang w:val="en-US"/>
        </w:rPr>
      </w:pPr>
      <w:r>
        <w:rPr>
          <w:rFonts w:eastAsia="Calibri"/>
          <w:lang w:val="en-GB" w:eastAsia="en-US"/>
        </w:rPr>
        <w:t xml:space="preserve">It looks like a simple step from a reification of family memory to reifying family archives. </w:t>
      </w:r>
    </w:p>
    <w:p w14:paraId="7C7E37F8" w14:textId="3FC8CC65" w:rsidR="00686023" w:rsidRDefault="00686023" w:rsidP="00F93342">
      <w:pPr>
        <w:tabs>
          <w:tab w:val="left" w:pos="3969"/>
        </w:tabs>
        <w:spacing w:after="200"/>
        <w:rPr>
          <w:rFonts w:eastAsia="Calibri"/>
          <w:lang w:val="en-US" w:eastAsia="en-US"/>
        </w:rPr>
      </w:pPr>
      <w:r>
        <w:rPr>
          <w:rFonts w:eastAsia="Calibri"/>
          <w:lang w:val="en-GB" w:eastAsia="en-US"/>
        </w:rPr>
        <w:t xml:space="preserve">Who creates a family archives? At some point in time, the </w:t>
      </w:r>
      <w:r w:rsidRPr="003B1422">
        <w:rPr>
          <w:rFonts w:eastAsia="Calibri"/>
          <w:i/>
          <w:iCs/>
          <w:lang w:val="en-GB" w:eastAsia="en-US"/>
        </w:rPr>
        <w:t xml:space="preserve">pater </w:t>
      </w:r>
      <w:proofErr w:type="spellStart"/>
      <w:r w:rsidRPr="003B1422">
        <w:rPr>
          <w:rFonts w:eastAsia="Calibri"/>
          <w:i/>
          <w:iCs/>
          <w:lang w:val="en-GB" w:eastAsia="en-US"/>
        </w:rPr>
        <w:t>familias</w:t>
      </w:r>
      <w:proofErr w:type="spellEnd"/>
      <w:r>
        <w:rPr>
          <w:rFonts w:eastAsia="Calibri"/>
          <w:lang w:val="en-GB" w:eastAsia="en-US"/>
        </w:rPr>
        <w:t xml:space="preserve"> or another family member has cast a genealogical gaze on one or two or many documents in the archive chest or the muniment room or the library. Gazing at some documents, leaving others untouched. This leads to the primordial creation of a family archives, but only to the extent that other family members endorse the creative act. A</w:t>
      </w:r>
      <w:r w:rsidRPr="003B1422">
        <w:rPr>
          <w:rFonts w:eastAsia="Calibri"/>
          <w:lang w:val="en-US" w:eastAsia="en-US"/>
        </w:rPr>
        <w:t xml:space="preserve"> patrimony </w:t>
      </w:r>
      <w:r>
        <w:rPr>
          <w:rFonts w:eastAsia="Calibri"/>
          <w:lang w:val="en-US" w:eastAsia="en-US"/>
        </w:rPr>
        <w:t>‘</w:t>
      </w:r>
      <w:r w:rsidRPr="003B1422">
        <w:rPr>
          <w:rFonts w:eastAsia="Calibri"/>
          <w:lang w:val="en-US" w:eastAsia="en-US"/>
        </w:rPr>
        <w:t>needs not only a testator and a will, but also an heir who accepts the conditions</w:t>
      </w:r>
      <w:r>
        <w:rPr>
          <w:rFonts w:eastAsia="Calibri"/>
          <w:lang w:val="en-US" w:eastAsia="en-US"/>
        </w:rPr>
        <w:t>.’</w:t>
      </w:r>
      <w:r>
        <w:rPr>
          <w:rStyle w:val="Eindnootmarkering"/>
          <w:rFonts w:eastAsia="Calibri"/>
          <w:lang w:val="en-US" w:eastAsia="en-US"/>
        </w:rPr>
        <w:endnoteReference w:id="26"/>
      </w:r>
      <w:r>
        <w:rPr>
          <w:rFonts w:eastAsia="Calibri"/>
          <w:lang w:val="en-US" w:eastAsia="en-US"/>
        </w:rPr>
        <w:t xml:space="preserve"> By sharing the genealogical gaze, family members become co-creators of the family archives, contributing to the ‘accumulated layers of meaning’ of the archives.</w:t>
      </w:r>
      <w:r>
        <w:rPr>
          <w:rStyle w:val="Eindnootmarkering"/>
          <w:rFonts w:eastAsia="Calibri"/>
          <w:lang w:val="en-US" w:eastAsia="en-US"/>
        </w:rPr>
        <w:endnoteReference w:id="27"/>
      </w:r>
      <w:r>
        <w:rPr>
          <w:rFonts w:eastAsia="Calibri"/>
          <w:lang w:val="en-US" w:eastAsia="en-US"/>
        </w:rPr>
        <w:t xml:space="preserve"> </w:t>
      </w:r>
    </w:p>
    <w:p w14:paraId="3015FCB8" w14:textId="65A0AC72" w:rsidR="00686023" w:rsidRDefault="00686023" w:rsidP="005B3ED0">
      <w:pPr>
        <w:tabs>
          <w:tab w:val="left" w:pos="3969"/>
        </w:tabs>
        <w:spacing w:after="200"/>
        <w:rPr>
          <w:lang w:val="en-GB"/>
        </w:rPr>
      </w:pPr>
      <w:r>
        <w:rPr>
          <w:rFonts w:eastAsia="Calibri"/>
          <w:lang w:val="en-US" w:eastAsia="en-US"/>
        </w:rPr>
        <w:t>This creative process has very recently been unraveled by the Australian archivistics scholar Michael Piggott, who worked on his family’s papers which he and his siblings had inherited.</w:t>
      </w:r>
      <w:r>
        <w:rPr>
          <w:rStyle w:val="Eindnootmarkering"/>
          <w:rFonts w:eastAsia="Calibri"/>
          <w:lang w:val="en-US" w:eastAsia="en-US"/>
        </w:rPr>
        <w:endnoteReference w:id="28"/>
      </w:r>
      <w:r>
        <w:rPr>
          <w:rFonts w:eastAsia="Calibri"/>
          <w:lang w:val="en-US" w:eastAsia="en-US"/>
        </w:rPr>
        <w:t xml:space="preserve"> We need more ethnographic and anthropological studies like Piggott’s and </w:t>
      </w:r>
      <w:proofErr w:type="spellStart"/>
      <w:r>
        <w:rPr>
          <w:rFonts w:eastAsia="Calibri"/>
          <w:lang w:val="en-US" w:eastAsia="en-US"/>
        </w:rPr>
        <w:t>Woodham’s</w:t>
      </w:r>
      <w:proofErr w:type="spellEnd"/>
      <w:r>
        <w:rPr>
          <w:rFonts w:eastAsia="Calibri"/>
          <w:lang w:val="en-US" w:eastAsia="en-US"/>
        </w:rPr>
        <w:t xml:space="preserve"> to understand more fully the constructing of contemporary family archives. In those </w:t>
      </w:r>
      <w:proofErr w:type="spellStart"/>
      <w:r>
        <w:rPr>
          <w:rFonts w:eastAsia="Calibri"/>
          <w:lang w:val="en-US" w:eastAsia="en-US"/>
        </w:rPr>
        <w:t>endeavours</w:t>
      </w:r>
      <w:proofErr w:type="spellEnd"/>
      <w:r>
        <w:rPr>
          <w:rFonts w:eastAsia="Calibri"/>
          <w:lang w:val="en-US" w:eastAsia="en-US"/>
        </w:rPr>
        <w:t>, it is important to listen to the owner of the archives, following the example of several projects in Portugal and Spain.</w:t>
      </w:r>
      <w:r>
        <w:rPr>
          <w:rStyle w:val="Eindnootmarkering"/>
          <w:rFonts w:eastAsia="Calibri"/>
          <w:lang w:val="en-US" w:eastAsia="en-US"/>
        </w:rPr>
        <w:endnoteReference w:id="29"/>
      </w:r>
      <w:r>
        <w:rPr>
          <w:rFonts w:eastAsia="Calibri"/>
          <w:lang w:val="en-US" w:eastAsia="en-US"/>
        </w:rPr>
        <w:t xml:space="preserve"> And at this conference owners of archives are well represented too. All the same, many researchers are concerned with medieval and premodern family archives only and not with their continuation or construction in modern times. Archival history (</w:t>
      </w:r>
      <w:proofErr w:type="spellStart"/>
      <w:r w:rsidRPr="00EB30B9">
        <w:rPr>
          <w:rFonts w:eastAsiaTheme="minorHAnsi" w:cs="ITCGaramondStd-Bk"/>
          <w:i/>
          <w:iCs/>
          <w:lang w:val="en-US" w:eastAsia="en-US"/>
        </w:rPr>
        <w:t>Arquivistica</w:t>
      </w:r>
      <w:proofErr w:type="spellEnd"/>
      <w:r w:rsidRPr="00EB30B9">
        <w:rPr>
          <w:rFonts w:eastAsiaTheme="minorHAnsi" w:cs="ITCGaramondStd-Bk"/>
          <w:i/>
          <w:iCs/>
          <w:lang w:val="en-US" w:eastAsia="en-US"/>
        </w:rPr>
        <w:t xml:space="preserve"> </w:t>
      </w:r>
      <w:proofErr w:type="spellStart"/>
      <w:r w:rsidRPr="00EB30B9">
        <w:rPr>
          <w:rFonts w:eastAsiaTheme="minorHAnsi" w:cs="ITCGaramondStd-Bk"/>
          <w:i/>
          <w:iCs/>
          <w:lang w:val="en-US" w:eastAsia="en-US"/>
        </w:rPr>
        <w:t>Historica</w:t>
      </w:r>
      <w:proofErr w:type="spellEnd"/>
      <w:r>
        <w:rPr>
          <w:rFonts w:eastAsiaTheme="minorHAnsi" w:cs="ITCGaramondStd-Bk"/>
          <w:i/>
          <w:iCs/>
          <w:lang w:val="en-US" w:eastAsia="en-US"/>
        </w:rPr>
        <w:t xml:space="preserve">) </w:t>
      </w:r>
      <w:r>
        <w:rPr>
          <w:rFonts w:eastAsiaTheme="minorHAnsi" w:cs="ITCGaramondStd-Bk"/>
          <w:lang w:val="en-US" w:eastAsia="en-US"/>
        </w:rPr>
        <w:t>is not restricted to classical, medieval and early modern studies. Yesterday’s archiving is history too. Furthermore, the current focus on archiving by nobility and elites should be extended by paying attention to other actors in society—past and present.</w:t>
      </w:r>
      <w:r w:rsidRPr="000B3570">
        <w:rPr>
          <w:vertAlign w:val="superscript"/>
          <w:lang w:val="en-GB"/>
        </w:rPr>
        <w:endnoteReference w:id="30"/>
      </w:r>
      <w:r w:rsidRPr="000B3570">
        <w:rPr>
          <w:lang w:val="en-GB"/>
        </w:rPr>
        <w:t xml:space="preserve"> </w:t>
      </w:r>
      <w:r>
        <w:rPr>
          <w:lang w:val="en-GB"/>
        </w:rPr>
        <w:t>Research on family archives could profit from research on community archives.</w:t>
      </w:r>
      <w:r>
        <w:rPr>
          <w:rStyle w:val="Eindnootmarkering"/>
          <w:lang w:val="en-GB"/>
        </w:rPr>
        <w:endnoteReference w:id="31"/>
      </w:r>
      <w:r>
        <w:rPr>
          <w:lang w:val="en-GB"/>
        </w:rPr>
        <w:t xml:space="preserve"> As the editors of </w:t>
      </w:r>
      <w:r w:rsidRPr="00BF25C0">
        <w:rPr>
          <w:i/>
          <w:iCs/>
          <w:lang w:val="en-GB"/>
        </w:rPr>
        <w:t>Recovered voices, newfound questions</w:t>
      </w:r>
      <w:r>
        <w:rPr>
          <w:lang w:val="en-GB"/>
        </w:rPr>
        <w:t xml:space="preserve"> argued, it is ‘useful to think of family archives as community archives, reinforcing with this concept the role they have played, and in some cases still play, in forming and consolidating a community identity.’</w:t>
      </w:r>
      <w:r>
        <w:rPr>
          <w:rStyle w:val="Eindnootmarkering"/>
          <w:lang w:val="en-GB"/>
        </w:rPr>
        <w:endnoteReference w:id="32"/>
      </w:r>
      <w:r>
        <w:rPr>
          <w:lang w:val="en-GB"/>
        </w:rPr>
        <w:t xml:space="preserve"> But also vice versa: the experiences and discourse of community archives (and of the community archives movement) may serve as inspiration for all people working with family archives.</w:t>
      </w:r>
      <w:r>
        <w:rPr>
          <w:rStyle w:val="Eindnootmarkering"/>
          <w:lang w:val="en-GB"/>
        </w:rPr>
        <w:endnoteReference w:id="33"/>
      </w:r>
      <w:r>
        <w:rPr>
          <w:lang w:val="en-GB"/>
        </w:rPr>
        <w:t xml:space="preserve"> </w:t>
      </w:r>
    </w:p>
    <w:p w14:paraId="3AAAC08A" w14:textId="72C9A5FA" w:rsidR="00686023" w:rsidRDefault="00686023" w:rsidP="005B3ED0">
      <w:pPr>
        <w:tabs>
          <w:tab w:val="left" w:pos="3969"/>
        </w:tabs>
        <w:spacing w:after="200"/>
        <w:rPr>
          <w:rFonts w:eastAsia="Calibri"/>
          <w:lang w:val="en-GB" w:eastAsia="en-US"/>
        </w:rPr>
      </w:pPr>
      <w:r>
        <w:rPr>
          <w:rFonts w:eastAsiaTheme="minorHAnsi" w:cs="ITCGaramondStd-Bk"/>
          <w:lang w:val="en-US" w:eastAsia="en-US"/>
        </w:rPr>
        <w:t>Research in archival history can be enriched by sociology, anthropology and other social sciences, even by art. As yet there are very few archival scholars and practitioners who acknowledge the important contribution that art and artists could make to archivistics.</w:t>
      </w:r>
      <w:r>
        <w:rPr>
          <w:rStyle w:val="Eindnootmarkering"/>
          <w:rFonts w:eastAsiaTheme="minorHAnsi" w:cs="ITCGaramondStd-Bk"/>
          <w:lang w:val="en-US" w:eastAsia="en-US"/>
        </w:rPr>
        <w:endnoteReference w:id="34"/>
      </w:r>
      <w:r>
        <w:rPr>
          <w:rFonts w:eastAsiaTheme="minorHAnsi" w:cs="ITCGaramondStd-Bk"/>
          <w:lang w:val="en-US" w:eastAsia="en-US"/>
        </w:rPr>
        <w:t xml:space="preserve">   </w:t>
      </w:r>
    </w:p>
    <w:p w14:paraId="72955978" w14:textId="34C14410" w:rsidR="00686023" w:rsidRDefault="00686023" w:rsidP="00670C2D">
      <w:pPr>
        <w:spacing w:after="200"/>
        <w:rPr>
          <w:rFonts w:eastAsia="Calibri"/>
          <w:lang w:val="en-GB" w:eastAsia="en-US"/>
        </w:rPr>
      </w:pPr>
      <w:r>
        <w:rPr>
          <w:rFonts w:eastAsia="Calibri"/>
          <w:lang w:val="en-GB" w:eastAsia="en-US"/>
        </w:rPr>
        <w:t>The family as such is an archives creator too. Writing about commonplace books, Adam Smythe has argued ‘that a family might be said to author’ these texts. Since many were inscribed by people of successive generations, the books (not only commonplace books, but also recipe books</w:t>
      </w:r>
      <w:r>
        <w:rPr>
          <w:rStyle w:val="Eindnootmarkering"/>
          <w:rFonts w:eastAsia="Calibri"/>
          <w:lang w:val="en-GB" w:eastAsia="en-US"/>
        </w:rPr>
        <w:endnoteReference w:id="35"/>
      </w:r>
      <w:r>
        <w:rPr>
          <w:rFonts w:eastAsia="Calibri"/>
          <w:lang w:val="en-GB" w:eastAsia="en-US"/>
        </w:rPr>
        <w:t xml:space="preserve">, the family bible, pedigrees, etc.) can be regarded as written </w:t>
      </w:r>
      <w:r w:rsidRPr="00CA4498">
        <w:rPr>
          <w:rFonts w:eastAsia="Calibri"/>
          <w:i/>
          <w:iCs/>
          <w:lang w:val="en-GB" w:eastAsia="en-US"/>
        </w:rPr>
        <w:t>by</w:t>
      </w:r>
      <w:r>
        <w:rPr>
          <w:rFonts w:eastAsia="Calibri"/>
          <w:lang w:val="en-GB" w:eastAsia="en-US"/>
        </w:rPr>
        <w:t xml:space="preserve"> the family. We do not see anything wrong with the expression: the archives of the city X, or agency Y, knowing that the archive is practically formed by individuals working for that city or agency. This is also true for family archives and therefore the new ICA standard Records-in-contexts recognizes the family as an agent.</w:t>
      </w:r>
      <w:r>
        <w:rPr>
          <w:rStyle w:val="Eindnootmarkering"/>
          <w:rFonts w:eastAsia="Calibri"/>
          <w:lang w:val="en-GB" w:eastAsia="en-US"/>
        </w:rPr>
        <w:endnoteReference w:id="36"/>
      </w:r>
      <w:r>
        <w:rPr>
          <w:rFonts w:eastAsia="Calibri"/>
          <w:lang w:val="en-GB" w:eastAsia="en-US"/>
        </w:rPr>
        <w:t xml:space="preserve">  </w:t>
      </w:r>
    </w:p>
    <w:p w14:paraId="570DA95E" w14:textId="7393294E" w:rsidR="00686023" w:rsidRPr="000B3570" w:rsidRDefault="00686023" w:rsidP="000B3570">
      <w:pPr>
        <w:shd w:val="clear" w:color="auto" w:fill="FFFFFF"/>
        <w:spacing w:after="315"/>
        <w:outlineLvl w:val="0"/>
        <w:rPr>
          <w:lang w:val="en-US"/>
          <w14:ligatures w14:val="none"/>
        </w:rPr>
      </w:pPr>
      <w:r w:rsidRPr="000B3570">
        <w:rPr>
          <w:lang w:val="en-US"/>
        </w:rPr>
        <w:t>T</w:t>
      </w:r>
      <w:r w:rsidRPr="000B3570">
        <w:rPr>
          <w:rFonts w:eastAsia="Calibri"/>
          <w:lang w:val="en-GB" w:eastAsia="en-US"/>
        </w:rPr>
        <w:t xml:space="preserve">he </w:t>
      </w:r>
      <w:r w:rsidRPr="000B3570">
        <w:rPr>
          <w:rFonts w:eastAsia="Calibri"/>
          <w:i/>
          <w:iCs/>
          <w:lang w:val="en-GB" w:eastAsia="en-US"/>
        </w:rPr>
        <w:t>Manual for the arrangement and description of archives</w:t>
      </w:r>
      <w:r w:rsidRPr="000B3570">
        <w:rPr>
          <w:rFonts w:eastAsia="Calibri"/>
          <w:lang w:val="en-GB" w:eastAsia="en-US"/>
        </w:rPr>
        <w:t xml:space="preserve"> by Muller, Feith, and Fruin (1898) considered </w:t>
      </w:r>
      <w:r>
        <w:rPr>
          <w:rFonts w:eastAsia="Calibri"/>
          <w:lang w:val="en-GB" w:eastAsia="en-US"/>
        </w:rPr>
        <w:t>‘</w:t>
      </w:r>
      <w:r w:rsidRPr="000B3570">
        <w:rPr>
          <w:rFonts w:eastAsia="Calibri"/>
          <w:lang w:val="en-GB" w:eastAsia="en-US"/>
        </w:rPr>
        <w:t>so called family archives</w:t>
      </w:r>
      <w:r>
        <w:rPr>
          <w:rFonts w:eastAsia="Calibri"/>
          <w:lang w:val="en-GB" w:eastAsia="en-US"/>
        </w:rPr>
        <w:t xml:space="preserve">’ </w:t>
      </w:r>
      <w:r w:rsidRPr="000B3570">
        <w:rPr>
          <w:rFonts w:eastAsia="Calibri"/>
          <w:lang w:val="en-GB" w:eastAsia="en-US"/>
        </w:rPr>
        <w:t xml:space="preserve">to be ‘a conglomerate of papers and documents’, very often </w:t>
      </w:r>
      <w:r>
        <w:rPr>
          <w:rFonts w:eastAsia="Calibri"/>
          <w:lang w:val="en-GB" w:eastAsia="en-US"/>
        </w:rPr>
        <w:t>‘</w:t>
      </w:r>
      <w:r w:rsidRPr="000B3570">
        <w:rPr>
          <w:rFonts w:eastAsia="Calibri"/>
          <w:lang w:val="en-GB" w:eastAsia="en-US"/>
        </w:rPr>
        <w:t>gathered together in the strangest manner</w:t>
      </w:r>
      <w:r>
        <w:rPr>
          <w:rFonts w:eastAsia="Calibri"/>
          <w:lang w:val="en-GB" w:eastAsia="en-US"/>
        </w:rPr>
        <w:t>’</w:t>
      </w:r>
      <w:r w:rsidRPr="000B3570">
        <w:rPr>
          <w:rFonts w:eastAsia="Calibri"/>
          <w:lang w:val="en-GB" w:eastAsia="en-US"/>
        </w:rPr>
        <w:t xml:space="preserve">, they ‘do not form </w:t>
      </w:r>
      <w:r>
        <w:rPr>
          <w:rFonts w:eastAsia="Calibri"/>
          <w:lang w:val="en-GB" w:eastAsia="en-US"/>
        </w:rPr>
        <w:t xml:space="preserve"> </w:t>
      </w:r>
      <w:r w:rsidRPr="000B3570">
        <w:rPr>
          <w:rFonts w:eastAsia="Calibri"/>
          <w:lang w:val="en-GB" w:eastAsia="en-US"/>
        </w:rPr>
        <w:t>a whole</w:t>
      </w:r>
      <w:r>
        <w:rPr>
          <w:rFonts w:eastAsia="Calibri"/>
          <w:lang w:val="en-GB" w:eastAsia="en-US"/>
        </w:rPr>
        <w:t>’</w:t>
      </w:r>
      <w:r w:rsidRPr="000B3570">
        <w:rPr>
          <w:rFonts w:eastAsia="Calibri"/>
          <w:lang w:val="en-GB" w:eastAsia="en-US"/>
        </w:rPr>
        <w:t xml:space="preserve"> and lack the organic bond of an archive. </w:t>
      </w:r>
      <w:r>
        <w:rPr>
          <w:rFonts w:eastAsia="Calibri"/>
          <w:lang w:val="en-GB" w:eastAsia="en-US"/>
        </w:rPr>
        <w:t>‘</w:t>
      </w:r>
      <w:r w:rsidRPr="000B3570">
        <w:rPr>
          <w:rFonts w:eastAsia="Calibri"/>
          <w:lang w:val="en-GB" w:eastAsia="en-US"/>
        </w:rPr>
        <w:t xml:space="preserve">The rules for ordinary archives, therefore, cannot be applied to family archives.’ </w:t>
      </w:r>
      <w:r>
        <w:rPr>
          <w:rStyle w:val="Eindnootmarkering"/>
          <w:rFonts w:eastAsia="Calibri"/>
          <w:lang w:val="en-GB" w:eastAsia="en-US"/>
        </w:rPr>
        <w:endnoteReference w:id="37"/>
      </w:r>
      <w:r>
        <w:rPr>
          <w:rFonts w:eastAsia="Calibri"/>
          <w:lang w:val="en-GB" w:eastAsia="en-US"/>
        </w:rPr>
        <w:t xml:space="preserve"> </w:t>
      </w:r>
      <w:r w:rsidRPr="000B3570">
        <w:rPr>
          <w:rFonts w:eastAsia="Calibri"/>
          <w:lang w:val="en-GB" w:eastAsia="en-US"/>
        </w:rPr>
        <w:t xml:space="preserve">This verdict lasted for nineteen years only. In 1917, at the annual meeting of State Archivists, under the presidency of National Archivist Fruin, it was acknowledged that a family archives is an organic whole, encompassing private documents, official and semi-official documents and manorial </w:t>
      </w:r>
      <w:r w:rsidRPr="000B3570">
        <w:rPr>
          <w:rFonts w:eastAsia="Calibri"/>
          <w:lang w:val="en-GB" w:eastAsia="en-US"/>
        </w:rPr>
        <w:lastRenderedPageBreak/>
        <w:t>records. This was in fact a codification of archival practice and policies which, even before 1917, had been accepted. Unfortunately, the reversal of the 1898 verdict was not mentioned in the second edition of the Manual of 1920. It is a pity that In most foreign literature the Manual’s rejection of archival quality of family archives was perpetuated.</w:t>
      </w:r>
      <w:r w:rsidRPr="000B3570">
        <w:rPr>
          <w:rFonts w:eastAsia="Calibri"/>
          <w:vertAlign w:val="superscript"/>
          <w:lang w:val="en-GB" w:eastAsia="en-US"/>
        </w:rPr>
        <w:endnoteReference w:id="38"/>
      </w:r>
      <w:r w:rsidRPr="000B3570">
        <w:rPr>
          <w:rFonts w:eastAsia="Calibri"/>
          <w:lang w:val="en-GB" w:eastAsia="en-US"/>
        </w:rPr>
        <w:t xml:space="preserve"> </w:t>
      </w:r>
    </w:p>
    <w:p w14:paraId="7AB715FD" w14:textId="4EAA9F0E" w:rsidR="00686023" w:rsidRPr="001F1DE2" w:rsidRDefault="00686023" w:rsidP="00670C2D">
      <w:pPr>
        <w:spacing w:after="200"/>
        <w:rPr>
          <w:rFonts w:eastAsia="Calibri"/>
          <w:u w:val="single"/>
          <w:lang w:val="en-GB" w:eastAsia="en-US"/>
        </w:rPr>
      </w:pPr>
      <w:r w:rsidRPr="001F1DE2">
        <w:rPr>
          <w:rFonts w:eastAsia="Calibri"/>
          <w:u w:val="single"/>
          <w:lang w:val="en-GB" w:eastAsia="en-US"/>
        </w:rPr>
        <w:t>Genres</w:t>
      </w:r>
    </w:p>
    <w:p w14:paraId="7EFB9CB2" w14:textId="54F62CC7" w:rsidR="00686023" w:rsidRPr="009571DE" w:rsidRDefault="00686023" w:rsidP="00670C2D">
      <w:pPr>
        <w:spacing w:after="200"/>
        <w:rPr>
          <w:rFonts w:eastAsia="Calibri"/>
          <w:lang w:val="en-GB" w:eastAsia="en-US"/>
        </w:rPr>
      </w:pPr>
      <w:r w:rsidRPr="009571DE">
        <w:rPr>
          <w:rFonts w:eastAsia="Calibri"/>
          <w:lang w:val="en-GB" w:eastAsia="en-US"/>
        </w:rPr>
        <w:t xml:space="preserve">The archiving by a family and any other community extends beyond its boundaries, involving addressees, senders, and all other parties who are participating in </w:t>
      </w:r>
      <w:r>
        <w:rPr>
          <w:rFonts w:eastAsia="Calibri"/>
          <w:lang w:val="en-GB" w:eastAsia="en-US"/>
        </w:rPr>
        <w:t>an</w:t>
      </w:r>
      <w:r w:rsidRPr="009571DE">
        <w:rPr>
          <w:rFonts w:eastAsia="Calibri"/>
          <w:lang w:val="en-GB" w:eastAsia="en-US"/>
        </w:rPr>
        <w:t xml:space="preserve"> intertextual genre system. Genres have been introduced into archivistics from the field of rhetorical genre studies. The journal </w:t>
      </w:r>
      <w:r w:rsidRPr="00EB30B9">
        <w:rPr>
          <w:rFonts w:eastAsia="Calibri"/>
          <w:i/>
          <w:iCs/>
          <w:lang w:val="en-GB" w:eastAsia="en-US"/>
        </w:rPr>
        <w:t>Archival Science</w:t>
      </w:r>
      <w:r w:rsidRPr="009571DE">
        <w:rPr>
          <w:rFonts w:eastAsia="Calibri"/>
          <w:lang w:val="en-GB" w:eastAsia="en-US"/>
        </w:rPr>
        <w:t xml:space="preserve"> devoted a special issue to it in 2012. Genres are patterns of communication written and non-written</w:t>
      </w:r>
      <w:r>
        <w:rPr>
          <w:rFonts w:eastAsia="Calibri"/>
          <w:lang w:val="en-GB" w:eastAsia="en-US"/>
        </w:rPr>
        <w:t>—</w:t>
      </w:r>
      <w:r w:rsidRPr="009571DE">
        <w:rPr>
          <w:rFonts w:eastAsia="Calibri"/>
          <w:lang w:val="en-GB" w:eastAsia="en-US"/>
        </w:rPr>
        <w:t>according to the norms of a certain community. A genre is a social category, linked to the expectations and norms of a social group. Genres offer social codes of conduct, which on the one hand stimulate a certain interaction, but which can also limit it.</w:t>
      </w:r>
      <w:r w:rsidRPr="004C60C2">
        <w:rPr>
          <w:lang w:val="en-US"/>
        </w:rPr>
        <w:t xml:space="preserve"> </w:t>
      </w:r>
      <w:r>
        <w:rPr>
          <w:lang w:val="en-US"/>
        </w:rPr>
        <w:t>I</w:t>
      </w:r>
      <w:r w:rsidRPr="009571DE">
        <w:rPr>
          <w:lang w:val="en-US"/>
        </w:rPr>
        <w:t xml:space="preserve">n my article </w:t>
      </w:r>
      <w:r w:rsidRPr="00650DA3">
        <w:rPr>
          <w:i/>
          <w:iCs/>
          <w:lang w:val="en-US"/>
        </w:rPr>
        <w:t>The genealogical gaze</w:t>
      </w:r>
      <w:r>
        <w:rPr>
          <w:lang w:val="en-US"/>
        </w:rPr>
        <w:t xml:space="preserve"> </w:t>
      </w:r>
      <w:r w:rsidRPr="009571DE">
        <w:rPr>
          <w:lang w:val="en-US"/>
        </w:rPr>
        <w:t xml:space="preserve">I showed how the </w:t>
      </w:r>
      <w:r>
        <w:rPr>
          <w:lang w:val="en-US"/>
        </w:rPr>
        <w:t>‘</w:t>
      </w:r>
      <w:r w:rsidRPr="009571DE">
        <w:rPr>
          <w:lang w:val="en-US"/>
        </w:rPr>
        <w:t>genealogical gaze</w:t>
      </w:r>
      <w:r>
        <w:rPr>
          <w:lang w:val="en-US"/>
        </w:rPr>
        <w:t>’</w:t>
      </w:r>
      <w:r w:rsidRPr="009571DE">
        <w:rPr>
          <w:lang w:val="en-US"/>
        </w:rPr>
        <w:t xml:space="preserve"> was expressed in various document genres: Florentine </w:t>
      </w:r>
      <w:proofErr w:type="spellStart"/>
      <w:r w:rsidRPr="009571DE">
        <w:rPr>
          <w:i/>
          <w:lang w:val="en-US"/>
        </w:rPr>
        <w:t>ricordanze</w:t>
      </w:r>
      <w:proofErr w:type="spellEnd"/>
      <w:r w:rsidRPr="009571DE">
        <w:rPr>
          <w:lang w:val="en-US"/>
        </w:rPr>
        <w:t xml:space="preserve">, pedigrees, family histories, memoirs, cartularies, letters, </w:t>
      </w:r>
      <w:proofErr w:type="spellStart"/>
      <w:r w:rsidRPr="009571DE">
        <w:rPr>
          <w:i/>
          <w:iCs/>
          <w:lang w:val="en-US"/>
        </w:rPr>
        <w:t>prioristi</w:t>
      </w:r>
      <w:proofErr w:type="spellEnd"/>
      <w:r w:rsidRPr="009571DE">
        <w:rPr>
          <w:lang w:val="en-US"/>
        </w:rPr>
        <w:t xml:space="preserve"> and other office genealogies showing which family members were entitled to offices, etc. They were all important for transmitting values and family identity to descendants.</w:t>
      </w:r>
    </w:p>
    <w:p w14:paraId="13CC6F74" w14:textId="0320C043" w:rsidR="00686023" w:rsidRPr="005C3D11" w:rsidRDefault="00686023" w:rsidP="005C3D11">
      <w:pPr>
        <w:autoSpaceDE w:val="0"/>
        <w:autoSpaceDN w:val="0"/>
        <w:adjustRightInd w:val="0"/>
        <w:rPr>
          <w:rFonts w:eastAsiaTheme="minorHAnsi" w:cs="AdvPTimesB"/>
          <w:szCs w:val="26"/>
          <w:lang w:val="en-US" w:eastAsia="en-US"/>
        </w:rPr>
      </w:pPr>
      <w:r w:rsidRPr="009571DE">
        <w:rPr>
          <w:rFonts w:eastAsia="Calibri"/>
          <w:lang w:val="en-GB" w:eastAsia="en-US"/>
        </w:rPr>
        <w:t xml:space="preserve">In the </w:t>
      </w:r>
      <w:proofErr w:type="spellStart"/>
      <w:r w:rsidRPr="009571DE">
        <w:rPr>
          <w:rFonts w:eastAsia="Calibri"/>
          <w:lang w:val="en-GB" w:eastAsia="en-US"/>
        </w:rPr>
        <w:t>1990s</w:t>
      </w:r>
      <w:proofErr w:type="spellEnd"/>
      <w:r w:rsidRPr="009571DE">
        <w:rPr>
          <w:rFonts w:eastAsia="Calibri"/>
          <w:lang w:val="en-GB" w:eastAsia="en-US"/>
        </w:rPr>
        <w:t>, the concept of a genre system was introduced by Charles Bazerman, who wrote that a genre system is a</w:t>
      </w:r>
      <w:r>
        <w:rPr>
          <w:rFonts w:eastAsia="Calibri"/>
          <w:lang w:val="en-GB" w:eastAsia="en-US"/>
        </w:rPr>
        <w:t xml:space="preserve"> </w:t>
      </w:r>
      <w:r w:rsidRPr="009571DE">
        <w:rPr>
          <w:rFonts w:eastAsia="Calibri"/>
          <w:lang w:val="en-GB" w:eastAsia="en-US"/>
        </w:rPr>
        <w:t>‘complex web of interrelated genres, where each participant makes a recognizable act or move in some recognizable genre, which then may be followed by a certain range of appropriate generic responses by others’.</w:t>
      </w:r>
      <w:r>
        <w:rPr>
          <w:rStyle w:val="Eindnootmarkering"/>
          <w:rFonts w:eastAsia="Calibri"/>
          <w:lang w:val="en-GB" w:eastAsia="en-US"/>
        </w:rPr>
        <w:endnoteReference w:id="39"/>
      </w:r>
      <w:r w:rsidRPr="005C3D11">
        <w:rPr>
          <w:rFonts w:eastAsia="Calibri"/>
          <w:lang w:val="en-GB" w:eastAsia="en-US"/>
        </w:rPr>
        <w:t xml:space="preserve"> </w:t>
      </w:r>
      <w:r>
        <w:rPr>
          <w:rFonts w:eastAsia="Calibri"/>
          <w:lang w:val="en-GB" w:eastAsia="en-US"/>
        </w:rPr>
        <w:t>‘</w:t>
      </w:r>
      <w:r w:rsidRPr="005C3D11">
        <w:rPr>
          <w:rFonts w:eastAsiaTheme="minorHAnsi" w:cs="AdvPTimes"/>
          <w:lang w:val="en-US" w:eastAsia="en-US"/>
        </w:rPr>
        <w:t>It is therefore a particularly useful concept for archival studies as it allows</w:t>
      </w:r>
      <w:r>
        <w:rPr>
          <w:rFonts w:eastAsiaTheme="minorHAnsi" w:cs="AdvPTimes"/>
          <w:lang w:val="en-US" w:eastAsia="en-US"/>
        </w:rPr>
        <w:t xml:space="preserve"> </w:t>
      </w:r>
      <w:r w:rsidRPr="005C3D11">
        <w:rPr>
          <w:rFonts w:eastAsiaTheme="minorHAnsi" w:cs="AdvPTimes"/>
          <w:lang w:val="en-US" w:eastAsia="en-US"/>
        </w:rPr>
        <w:t>researchers and practitioners to consider a record’s broader context, both within and</w:t>
      </w:r>
      <w:r>
        <w:rPr>
          <w:rFonts w:eastAsiaTheme="minorHAnsi" w:cs="AdvPTimes"/>
          <w:lang w:val="en-US" w:eastAsia="en-US"/>
        </w:rPr>
        <w:t xml:space="preserve"> </w:t>
      </w:r>
      <w:r w:rsidRPr="005C3D11">
        <w:rPr>
          <w:rFonts w:eastAsiaTheme="minorHAnsi" w:cs="AdvPTimes"/>
          <w:lang w:val="en-US" w:eastAsia="en-US"/>
        </w:rPr>
        <w:t>beyond the organizational and physical setting where it was created.</w:t>
      </w:r>
      <w:r>
        <w:rPr>
          <w:rFonts w:eastAsiaTheme="minorHAnsi" w:cs="AdvPTimes"/>
          <w:lang w:val="en-US" w:eastAsia="en-US"/>
        </w:rPr>
        <w:t>’</w:t>
      </w:r>
      <w:r>
        <w:rPr>
          <w:rStyle w:val="Eindnootmarkering"/>
          <w:rFonts w:eastAsiaTheme="minorHAnsi" w:cs="AdvPTimes"/>
          <w:lang w:val="en-US" w:eastAsia="en-US"/>
        </w:rPr>
        <w:endnoteReference w:id="40"/>
      </w:r>
      <w:r w:rsidRPr="005C3D11">
        <w:rPr>
          <w:rFonts w:eastAsiaTheme="minorHAnsi" w:cs="AdvPTimes"/>
          <w:lang w:val="en-US" w:eastAsia="en-US"/>
        </w:rPr>
        <w:t xml:space="preserve"> </w:t>
      </w:r>
    </w:p>
    <w:p w14:paraId="047D4193" w14:textId="4726C4F7" w:rsidR="00686023" w:rsidRPr="009571DE" w:rsidRDefault="00686023" w:rsidP="00670C2D">
      <w:pPr>
        <w:spacing w:after="200"/>
        <w:rPr>
          <w:rFonts w:eastAsia="Calibri"/>
          <w:lang w:val="en-GB" w:eastAsia="en-US"/>
        </w:rPr>
      </w:pPr>
      <w:r w:rsidRPr="009571DE">
        <w:rPr>
          <w:rFonts w:eastAsia="Calibri"/>
          <w:lang w:val="en-GB" w:eastAsia="en-US"/>
        </w:rPr>
        <w:t>Genres provide social codes of behaviour an</w:t>
      </w:r>
      <w:r>
        <w:rPr>
          <w:rFonts w:eastAsia="Calibri"/>
          <w:lang w:val="en-GB" w:eastAsia="en-US"/>
        </w:rPr>
        <w:t>d</w:t>
      </w:r>
      <w:r w:rsidRPr="009571DE">
        <w:rPr>
          <w:rFonts w:eastAsia="Calibri"/>
          <w:lang w:val="en-GB" w:eastAsia="en-US"/>
        </w:rPr>
        <w:t xml:space="preserve"> </w:t>
      </w:r>
      <w:r>
        <w:rPr>
          <w:rFonts w:eastAsia="Calibri"/>
          <w:lang w:val="en-GB" w:eastAsia="en-US"/>
        </w:rPr>
        <w:t xml:space="preserve">they </w:t>
      </w:r>
      <w:r w:rsidRPr="009571DE">
        <w:rPr>
          <w:rFonts w:eastAsia="Calibri"/>
          <w:lang w:val="en-GB" w:eastAsia="en-US"/>
        </w:rPr>
        <w:t xml:space="preserve">can initiate actions: people know how to respond to a particular genre. An application for a patent triggers a specific social action involving different participants and genres, a petition for a writ of summons triggers a sequence of genres created and used by lawyers, judges, and parties directly or indirectly involved in the litigation. </w:t>
      </w:r>
    </w:p>
    <w:p w14:paraId="234816A0" w14:textId="19288D4D" w:rsidR="00686023" w:rsidRPr="00940B82" w:rsidRDefault="00686023" w:rsidP="00E7426D">
      <w:pPr>
        <w:pStyle w:val="xmsonormal"/>
        <w:shd w:val="clear" w:color="auto" w:fill="FFFFFF"/>
        <w:spacing w:before="240" w:beforeAutospacing="0" w:after="0" w:afterAutospacing="0"/>
        <w:rPr>
          <w:rFonts w:ascii="Verdana" w:hAnsi="Verdana"/>
          <w:sz w:val="20"/>
          <w:szCs w:val="20"/>
          <w:lang w:val="en-US"/>
        </w:rPr>
      </w:pPr>
      <w:r w:rsidRPr="00940B82">
        <w:rPr>
          <w:rFonts w:ascii="Verdana" w:eastAsia="Calibri" w:hAnsi="Verdana"/>
          <w:sz w:val="20"/>
          <w:szCs w:val="20"/>
          <w:lang w:val="en-GB" w:eastAsia="en-US"/>
        </w:rPr>
        <w:t>Consider, for example, the archival consequences of the death of a family member. The relatives at the death bed, the doctor or coroner, the funeral director</w:t>
      </w:r>
      <w:r>
        <w:rPr>
          <w:rFonts w:ascii="Verdana" w:eastAsia="Calibri" w:hAnsi="Verdana"/>
          <w:sz w:val="20"/>
          <w:szCs w:val="20"/>
          <w:lang w:val="en-GB" w:eastAsia="en-US"/>
        </w:rPr>
        <w:t>—</w:t>
      </w:r>
      <w:r w:rsidRPr="00940B82">
        <w:rPr>
          <w:rFonts w:ascii="Verdana" w:eastAsia="Calibri" w:hAnsi="Verdana"/>
          <w:sz w:val="20"/>
          <w:szCs w:val="20"/>
          <w:lang w:val="en-GB" w:eastAsia="en-US"/>
        </w:rPr>
        <w:t>everyone knows what is expected of him or her. The doctor checks whether there is a donor codicil (genre 1) and he makes the death certificate (genre 2). It is delivered to the town hall when the death is formally notified (genre 3). No funeral or cremation may take place without a death notification. Extracts from the death certificate drawn up (genre 4) are provided to the relatives (genre 5). They need that extract for consulting the central register of wills (genre 6), for cancelling the rent (genre 7), for paying out a life insurance policy (genre 8), etc. A notary must draw up a certificate of inheritance (genre 9), allowing the heirs to access the bank account. In the meantime, the immediate family has prepared and disseminated the death notice (</w:t>
      </w:r>
      <w:r w:rsidRPr="00E951E0">
        <w:rPr>
          <w:rFonts w:ascii="Verdana" w:eastAsia="Calibri" w:hAnsi="Verdana"/>
          <w:i/>
          <w:iCs/>
          <w:sz w:val="20"/>
          <w:szCs w:val="20"/>
          <w:lang w:val="en-GB" w:eastAsia="en-US"/>
        </w:rPr>
        <w:t>faire part</w:t>
      </w:r>
      <w:r>
        <w:rPr>
          <w:rFonts w:ascii="Verdana" w:eastAsia="Calibri" w:hAnsi="Verdana"/>
          <w:i/>
          <w:iCs/>
          <w:sz w:val="20"/>
          <w:szCs w:val="20"/>
          <w:lang w:val="en-GB" w:eastAsia="en-US"/>
        </w:rPr>
        <w:t xml:space="preserve"> </w:t>
      </w:r>
      <w:proofErr w:type="spellStart"/>
      <w:r>
        <w:rPr>
          <w:rFonts w:ascii="Verdana" w:eastAsia="Calibri" w:hAnsi="Verdana"/>
          <w:i/>
          <w:iCs/>
          <w:sz w:val="20"/>
          <w:szCs w:val="20"/>
          <w:lang w:val="en-GB" w:eastAsia="en-US"/>
        </w:rPr>
        <w:t>décès</w:t>
      </w:r>
      <w:proofErr w:type="spellEnd"/>
      <w:r w:rsidRPr="00940B82">
        <w:rPr>
          <w:rFonts w:ascii="Verdana" w:eastAsia="Calibri" w:hAnsi="Verdana"/>
          <w:sz w:val="20"/>
          <w:szCs w:val="20"/>
          <w:lang w:val="en-GB" w:eastAsia="en-US"/>
        </w:rPr>
        <w:t xml:space="preserve">) (genre 10). The first letters of condolence come in (genre 11) ... and so the paper trail continues. In a short time the death led to eleven consecutive and interconnected documentary genres, according to a partly unwritten scenario in which each participant performs an action in a certain genre, which evokes certain reactions in others. Some of these documents end up in the family archives as muniments and/or monuments, depending on the genealogical gaze. Still, the documents stay ‘alive’, </w:t>
      </w:r>
      <w:r>
        <w:rPr>
          <w:rFonts w:ascii="Verdana" w:eastAsia="Calibri" w:hAnsi="Verdana"/>
          <w:sz w:val="20"/>
          <w:szCs w:val="20"/>
          <w:lang w:val="en-GB" w:eastAsia="en-US"/>
          <w14:ligatures w14:val="none"/>
        </w:rPr>
        <w:t>‘</w:t>
      </w:r>
      <w:r w:rsidRPr="00940B82">
        <w:rPr>
          <w:rFonts w:ascii="Verdana" w:eastAsia="Calibri" w:hAnsi="Verdana"/>
          <w:sz w:val="20"/>
          <w:szCs w:val="20"/>
          <w:lang w:val="en-GB" w:eastAsia="en-US"/>
          <w14:ligatures w14:val="none"/>
        </w:rPr>
        <w:t>comprised in their continuing and future enactment and use; in layers of performance.</w:t>
      </w:r>
      <w:r>
        <w:rPr>
          <w:rFonts w:ascii="Verdana" w:eastAsia="Calibri" w:hAnsi="Verdana"/>
          <w:sz w:val="20"/>
          <w:szCs w:val="20"/>
          <w:lang w:val="en-GB" w:eastAsia="en-US"/>
          <w14:ligatures w14:val="none"/>
        </w:rPr>
        <w:t>’</w:t>
      </w:r>
      <w:r w:rsidRPr="00940B82">
        <w:rPr>
          <w:rFonts w:ascii="Verdana" w:eastAsia="Calibri" w:hAnsi="Verdana"/>
          <w:sz w:val="20"/>
          <w:szCs w:val="20"/>
          <w:vertAlign w:val="superscript"/>
          <w:lang w:val="en-GB" w:eastAsia="en-US"/>
          <w14:ligatures w14:val="none"/>
        </w:rPr>
        <w:endnoteReference w:id="41"/>
      </w:r>
      <w:r w:rsidRPr="00940B82">
        <w:rPr>
          <w:rFonts w:ascii="Verdana" w:eastAsia="Calibri" w:hAnsi="Verdana"/>
          <w:sz w:val="20"/>
          <w:szCs w:val="20"/>
          <w:lang w:val="en-GB" w:eastAsia="en-US"/>
          <w14:ligatures w14:val="none"/>
        </w:rPr>
        <w:t xml:space="preserve"> Archival documents are not static, </w:t>
      </w:r>
      <w:r>
        <w:rPr>
          <w:rFonts w:ascii="Verdana" w:eastAsia="Calibri" w:hAnsi="Verdana"/>
          <w:sz w:val="20"/>
          <w:szCs w:val="20"/>
          <w:lang w:val="en-GB" w:eastAsia="en-US"/>
          <w14:ligatures w14:val="none"/>
        </w:rPr>
        <w:t>‘</w:t>
      </w:r>
      <w:r w:rsidRPr="00940B82">
        <w:rPr>
          <w:rFonts w:ascii="Verdana" w:eastAsia="Calibri" w:hAnsi="Verdana"/>
          <w:sz w:val="20"/>
          <w:szCs w:val="20"/>
          <w:lang w:val="en-GB" w:eastAsia="en-US"/>
          <w14:ligatures w14:val="none"/>
        </w:rPr>
        <w:t>they are constantly refreshed so that their ephemerality endures</w:t>
      </w:r>
      <w:r>
        <w:rPr>
          <w:rFonts w:ascii="Verdana" w:eastAsia="Calibri" w:hAnsi="Verdana"/>
          <w:sz w:val="20"/>
          <w:szCs w:val="20"/>
          <w:lang w:val="en-GB" w:eastAsia="en-US"/>
          <w14:ligatures w14:val="none"/>
        </w:rPr>
        <w:t>’</w:t>
      </w:r>
      <w:r w:rsidRPr="00940B82">
        <w:rPr>
          <w:rFonts w:ascii="Verdana" w:eastAsia="Calibri" w:hAnsi="Verdana"/>
          <w:sz w:val="20"/>
          <w:szCs w:val="20"/>
          <w:lang w:val="en-GB" w:eastAsia="en-US"/>
          <w14:ligatures w14:val="none"/>
        </w:rPr>
        <w:t>, to quote Wendy Hui Kyong Chun.</w:t>
      </w:r>
      <w:r w:rsidRPr="00940B82">
        <w:rPr>
          <w:rFonts w:ascii="Verdana" w:eastAsia="Calibri" w:hAnsi="Verdana"/>
          <w:sz w:val="20"/>
          <w:szCs w:val="20"/>
          <w:vertAlign w:val="superscript"/>
          <w:lang w:val="en-GB" w:eastAsia="en-US"/>
          <w14:ligatures w14:val="none"/>
        </w:rPr>
        <w:endnoteReference w:id="42"/>
      </w:r>
      <w:r w:rsidRPr="00940B82">
        <w:rPr>
          <w:rFonts w:ascii="Verdana" w:eastAsia="Calibri" w:hAnsi="Verdana"/>
          <w:sz w:val="20"/>
          <w:szCs w:val="20"/>
          <w:lang w:val="en-GB" w:eastAsia="en-US"/>
          <w14:ligatures w14:val="none"/>
        </w:rPr>
        <w:t xml:space="preserve"> I have discussed the ephemerality in my </w:t>
      </w:r>
      <w:r w:rsidRPr="00940B82">
        <w:rPr>
          <w:rFonts w:ascii="Verdana" w:hAnsi="Verdana"/>
          <w:sz w:val="20"/>
          <w:szCs w:val="20"/>
          <w:lang w:val="en-US"/>
        </w:rPr>
        <w:t xml:space="preserve">paper </w:t>
      </w:r>
      <w:r>
        <w:rPr>
          <w:rFonts w:ascii="Verdana" w:hAnsi="Verdana"/>
          <w:sz w:val="20"/>
          <w:szCs w:val="20"/>
          <w:lang w:val="en-US"/>
        </w:rPr>
        <w:t>‘</w:t>
      </w:r>
      <w:r w:rsidRPr="00940B82">
        <w:rPr>
          <w:rFonts w:ascii="Verdana" w:hAnsi="Verdana"/>
          <w:sz w:val="20"/>
          <w:szCs w:val="20"/>
          <w:lang w:val="en-US"/>
        </w:rPr>
        <w:t>Celebrating change in archives</w:t>
      </w:r>
      <w:r>
        <w:rPr>
          <w:rFonts w:ascii="Verdana" w:hAnsi="Verdana"/>
          <w:sz w:val="20"/>
          <w:szCs w:val="20"/>
          <w:lang w:val="en-US"/>
        </w:rPr>
        <w:t>’</w:t>
      </w:r>
      <w:r w:rsidRPr="00940B82">
        <w:rPr>
          <w:rFonts w:ascii="Verdana" w:hAnsi="Verdana"/>
          <w:sz w:val="20"/>
          <w:szCs w:val="20"/>
          <w:lang w:val="en-US"/>
        </w:rPr>
        <w:t xml:space="preserve">, at the seminar </w:t>
      </w:r>
      <w:r>
        <w:rPr>
          <w:rFonts w:ascii="Verdana" w:hAnsi="Verdana" w:cs="Calibri"/>
          <w:color w:val="242424"/>
          <w:sz w:val="20"/>
          <w:szCs w:val="20"/>
          <w:bdr w:val="none" w:sz="0" w:space="0" w:color="auto" w:frame="1"/>
          <w:lang w:val="en-US"/>
        </w:rPr>
        <w:t>‘R</w:t>
      </w:r>
      <w:r w:rsidRPr="00C904D1">
        <w:rPr>
          <w:rFonts w:ascii="Verdana" w:hAnsi="Verdana" w:cs="Calibri"/>
          <w:color w:val="242424"/>
          <w:sz w:val="20"/>
          <w:szCs w:val="20"/>
          <w:bdr w:val="none" w:sz="0" w:space="0" w:color="auto" w:frame="1"/>
          <w:lang w:val="en-US"/>
        </w:rPr>
        <w:t xml:space="preserve">ethinking the Archive(s)/ </w:t>
      </w:r>
      <w:proofErr w:type="spellStart"/>
      <w:r w:rsidRPr="00C904D1">
        <w:rPr>
          <w:rFonts w:ascii="Verdana" w:hAnsi="Verdana" w:cs="Calibri"/>
          <w:color w:val="242424"/>
          <w:sz w:val="20"/>
          <w:szCs w:val="20"/>
          <w:bdr w:val="none" w:sz="0" w:space="0" w:color="auto" w:frame="1"/>
          <w:lang w:val="en-US"/>
        </w:rPr>
        <w:t>Repensar</w:t>
      </w:r>
      <w:proofErr w:type="spellEnd"/>
      <w:r w:rsidRPr="00C904D1">
        <w:rPr>
          <w:rFonts w:ascii="Verdana" w:hAnsi="Verdana" w:cs="Calibri"/>
          <w:color w:val="242424"/>
          <w:sz w:val="20"/>
          <w:szCs w:val="20"/>
          <w:bdr w:val="none" w:sz="0" w:space="0" w:color="auto" w:frame="1"/>
          <w:lang w:val="en-US"/>
        </w:rPr>
        <w:t xml:space="preserve"> o(s) </w:t>
      </w:r>
      <w:proofErr w:type="spellStart"/>
      <w:r w:rsidRPr="00C904D1">
        <w:rPr>
          <w:rFonts w:ascii="Verdana" w:hAnsi="Verdana" w:cs="Calibri"/>
          <w:color w:val="242424"/>
          <w:sz w:val="20"/>
          <w:szCs w:val="20"/>
          <w:bdr w:val="none" w:sz="0" w:space="0" w:color="auto" w:frame="1"/>
          <w:lang w:val="en-US"/>
        </w:rPr>
        <w:t>Arquivo</w:t>
      </w:r>
      <w:proofErr w:type="spellEnd"/>
      <w:r w:rsidRPr="00C904D1">
        <w:rPr>
          <w:rFonts w:ascii="Verdana" w:hAnsi="Verdana" w:cs="Calibri"/>
          <w:color w:val="242424"/>
          <w:sz w:val="20"/>
          <w:szCs w:val="20"/>
          <w:bdr w:val="none" w:sz="0" w:space="0" w:color="auto" w:frame="1"/>
          <w:lang w:val="en-US"/>
        </w:rPr>
        <w:t>(s)</w:t>
      </w:r>
      <w:r>
        <w:rPr>
          <w:rFonts w:ascii="Verdana" w:hAnsi="Verdana" w:cs="Calibri"/>
          <w:color w:val="242424"/>
          <w:sz w:val="20"/>
          <w:szCs w:val="20"/>
          <w:bdr w:val="none" w:sz="0" w:space="0" w:color="auto" w:frame="1"/>
          <w:lang w:val="en-US"/>
        </w:rPr>
        <w:t>’</w:t>
      </w:r>
      <w:r w:rsidRPr="00C904D1">
        <w:rPr>
          <w:rFonts w:ascii="Verdana" w:hAnsi="Verdana" w:cs="Calibri"/>
          <w:color w:val="242424"/>
          <w:sz w:val="20"/>
          <w:szCs w:val="20"/>
          <w:bdr w:val="none" w:sz="0" w:space="0" w:color="auto" w:frame="1"/>
          <w:lang w:val="en-US"/>
        </w:rPr>
        <w:t>,</w:t>
      </w:r>
      <w:r w:rsidRPr="00940B82">
        <w:rPr>
          <w:rFonts w:ascii="Verdana" w:hAnsi="Verdana" w:cs="Calibri"/>
          <w:color w:val="242424"/>
          <w:sz w:val="20"/>
          <w:szCs w:val="20"/>
          <w:bdr w:val="none" w:sz="0" w:space="0" w:color="auto" w:frame="1"/>
          <w:lang w:val="en-US"/>
        </w:rPr>
        <w:t xml:space="preserve"> organized by</w:t>
      </w:r>
      <w:r w:rsidRPr="00940B82">
        <w:rPr>
          <w:rFonts w:ascii="Verdana" w:hAnsi="Verdana" w:cs="Calibri"/>
          <w:b/>
          <w:bCs/>
          <w:color w:val="242424"/>
          <w:sz w:val="20"/>
          <w:szCs w:val="20"/>
          <w:bdr w:val="none" w:sz="0" w:space="0" w:color="auto" w:frame="1"/>
          <w:lang w:val="en-US"/>
        </w:rPr>
        <w:t xml:space="preserve"> </w:t>
      </w:r>
      <w:proofErr w:type="spellStart"/>
      <w:r>
        <w:rPr>
          <w:rFonts w:ascii="Verdana" w:hAnsi="Verdana"/>
          <w:color w:val="000000"/>
          <w:sz w:val="20"/>
          <w:szCs w:val="20"/>
          <w:shd w:val="clear" w:color="auto" w:fill="FFFFFF"/>
          <w:lang w:val="en-US"/>
        </w:rPr>
        <w:t>l</w:t>
      </w:r>
      <w:r w:rsidRPr="00940B82">
        <w:rPr>
          <w:rFonts w:ascii="Verdana" w:hAnsi="Verdana"/>
          <w:color w:val="000000"/>
          <w:sz w:val="20"/>
          <w:szCs w:val="20"/>
          <w:shd w:val="clear" w:color="auto" w:fill="FFFFFF"/>
          <w:lang w:val="en-US"/>
        </w:rPr>
        <w:t>’Instituto</w:t>
      </w:r>
      <w:proofErr w:type="spellEnd"/>
      <w:r w:rsidRPr="00940B82">
        <w:rPr>
          <w:rFonts w:ascii="Verdana" w:hAnsi="Verdana"/>
          <w:color w:val="000000"/>
          <w:sz w:val="20"/>
          <w:szCs w:val="20"/>
          <w:shd w:val="clear" w:color="auto" w:fill="FFFFFF"/>
          <w:lang w:val="en-US"/>
        </w:rPr>
        <w:t xml:space="preserve"> de </w:t>
      </w:r>
      <w:proofErr w:type="spellStart"/>
      <w:r w:rsidRPr="00940B82">
        <w:rPr>
          <w:rFonts w:ascii="Verdana" w:hAnsi="Verdana"/>
          <w:color w:val="000000"/>
          <w:sz w:val="20"/>
          <w:szCs w:val="20"/>
          <w:shd w:val="clear" w:color="auto" w:fill="FFFFFF"/>
          <w:lang w:val="en-US"/>
        </w:rPr>
        <w:t>Estudos</w:t>
      </w:r>
      <w:proofErr w:type="spellEnd"/>
      <w:r w:rsidRPr="00940B82">
        <w:rPr>
          <w:rFonts w:ascii="Verdana" w:hAnsi="Verdana"/>
          <w:color w:val="000000"/>
          <w:sz w:val="20"/>
          <w:szCs w:val="20"/>
          <w:shd w:val="clear" w:color="auto" w:fill="FFFFFF"/>
          <w:lang w:val="en-US"/>
        </w:rPr>
        <w:t xml:space="preserve"> </w:t>
      </w:r>
      <w:proofErr w:type="spellStart"/>
      <w:r w:rsidRPr="00940B82">
        <w:rPr>
          <w:rFonts w:ascii="Verdana" w:hAnsi="Verdana"/>
          <w:color w:val="000000"/>
          <w:sz w:val="20"/>
          <w:szCs w:val="20"/>
          <w:shd w:val="clear" w:color="auto" w:fill="FFFFFF"/>
          <w:lang w:val="en-US"/>
        </w:rPr>
        <w:t>Medievais</w:t>
      </w:r>
      <w:proofErr w:type="spellEnd"/>
      <w:r w:rsidRPr="00940B82">
        <w:rPr>
          <w:rFonts w:ascii="Verdana" w:hAnsi="Verdana"/>
          <w:color w:val="000000"/>
          <w:sz w:val="20"/>
          <w:szCs w:val="20"/>
          <w:shd w:val="clear" w:color="auto" w:fill="FFFFFF"/>
          <w:lang w:val="en-US"/>
        </w:rPr>
        <w:t xml:space="preserve"> and the VINCULUM project, 9 November 2023.</w:t>
      </w:r>
    </w:p>
    <w:p w14:paraId="7A21177F" w14:textId="355F04C2" w:rsidR="00686023" w:rsidRPr="009571DE" w:rsidRDefault="00686023" w:rsidP="00E7426D">
      <w:pPr>
        <w:spacing w:before="240" w:after="200"/>
        <w:rPr>
          <w:rFonts w:eastAsia="Calibri"/>
          <w:lang w:val="en-GB" w:eastAsia="en-US"/>
        </w:rPr>
      </w:pPr>
      <w:r>
        <w:rPr>
          <w:rFonts w:eastAsia="Calibri"/>
          <w:lang w:val="en-GB" w:eastAsia="en-US"/>
        </w:rPr>
        <w:lastRenderedPageBreak/>
        <w:t>Thus, the archive keeps its openness and transformative force that characterize a genre system.</w:t>
      </w:r>
      <w:r>
        <w:rPr>
          <w:rStyle w:val="Eindnootmarkering"/>
          <w:rFonts w:eastAsia="Calibri"/>
          <w:lang w:val="en-GB" w:eastAsia="en-US"/>
        </w:rPr>
        <w:endnoteReference w:id="43"/>
      </w:r>
      <w:r>
        <w:rPr>
          <w:rFonts w:eastAsia="Calibri"/>
          <w:lang w:val="en-GB" w:eastAsia="en-US"/>
        </w:rPr>
        <w:t xml:space="preserve"> </w:t>
      </w:r>
      <w:r w:rsidRPr="009571DE">
        <w:rPr>
          <w:rFonts w:eastAsia="Calibri"/>
          <w:lang w:val="en-GB" w:eastAsia="en-US"/>
        </w:rPr>
        <w:t xml:space="preserve">Conceptualizing </w:t>
      </w:r>
      <w:r>
        <w:rPr>
          <w:rFonts w:eastAsia="Calibri"/>
          <w:lang w:val="en-GB" w:eastAsia="en-US"/>
        </w:rPr>
        <w:t>family archives</w:t>
      </w:r>
      <w:r w:rsidRPr="009571DE">
        <w:rPr>
          <w:rFonts w:eastAsia="Calibri"/>
          <w:lang w:val="en-GB" w:eastAsia="en-US"/>
        </w:rPr>
        <w:t xml:space="preserve"> as genre systems brings ‘the social’ embedded in archiving to the foreground, emphasizes what Bazerman calls the ‘multivocality’ of the text and highlights the enabling (and constraining) power of archives and archiving.</w:t>
      </w:r>
    </w:p>
    <w:p w14:paraId="54212A9D" w14:textId="77777777" w:rsidR="00686023" w:rsidRDefault="00686023" w:rsidP="007B42B5">
      <w:pPr>
        <w:rPr>
          <w:rFonts w:eastAsia="Calibri"/>
          <w:lang w:val="en-GB" w:eastAsia="en-US"/>
        </w:rPr>
      </w:pPr>
    </w:p>
    <w:p w14:paraId="211715D0" w14:textId="2011561C" w:rsidR="00686023" w:rsidRPr="00F60B02" w:rsidRDefault="00686023" w:rsidP="007B42B5">
      <w:pPr>
        <w:rPr>
          <w:rFonts w:eastAsia="Calibri"/>
          <w:u w:val="single"/>
          <w:lang w:val="en-GB" w:eastAsia="en-US"/>
        </w:rPr>
      </w:pPr>
      <w:r w:rsidRPr="00F60B02">
        <w:rPr>
          <w:rFonts w:eastAsia="Calibri"/>
          <w:u w:val="single"/>
          <w:lang w:val="en-GB" w:eastAsia="en-US"/>
        </w:rPr>
        <w:t xml:space="preserve">Archivalization </w:t>
      </w:r>
    </w:p>
    <w:p w14:paraId="1FD28F6B" w14:textId="7173B9BB" w:rsidR="00686023" w:rsidRPr="000B2C76" w:rsidRDefault="00686023" w:rsidP="00FE3B26">
      <w:pPr>
        <w:spacing w:before="240"/>
        <w:rPr>
          <w:lang w:val="en-US"/>
        </w:rPr>
      </w:pPr>
      <w:r>
        <w:rPr>
          <w:rFonts w:eastAsia="Calibri"/>
          <w:lang w:val="en-GB" w:eastAsia="en-US"/>
        </w:rPr>
        <w:t xml:space="preserve">Archiving happens in a </w:t>
      </w:r>
      <w:r w:rsidRPr="009571DE">
        <w:rPr>
          <w:rFonts w:eastAsia="Calibri"/>
          <w:lang w:val="en-GB" w:eastAsia="en-US"/>
        </w:rPr>
        <w:t>social context</w:t>
      </w:r>
      <w:r>
        <w:rPr>
          <w:rFonts w:eastAsia="Calibri"/>
          <w:lang w:val="en-GB" w:eastAsia="en-US"/>
        </w:rPr>
        <w:t>.</w:t>
      </w:r>
      <w:r w:rsidRPr="009571DE">
        <w:rPr>
          <w:rFonts w:eastAsia="Calibri"/>
          <w:lang w:val="en-GB" w:eastAsia="en-US"/>
        </w:rPr>
        <w:t xml:space="preserve"> This contextuality implies that archiving changes in society, but vice versa also supports changes in society. I call this the duality of the archive</w:t>
      </w:r>
      <w:r>
        <w:rPr>
          <w:rFonts w:eastAsia="Calibri"/>
          <w:lang w:val="en-GB" w:eastAsia="en-US"/>
        </w:rPr>
        <w:t xml:space="preserve"> (</w:t>
      </w:r>
      <w:r>
        <w:rPr>
          <w:color w:val="000000"/>
          <w:kern w:val="24"/>
          <w:lang w:val="en-GB"/>
        </w:rPr>
        <w:t>a</w:t>
      </w:r>
      <w:r w:rsidRPr="00885231">
        <w:rPr>
          <w:color w:val="000000"/>
          <w:kern w:val="24"/>
          <w:lang w:val="en-GB"/>
        </w:rPr>
        <w:t xml:space="preserve"> </w:t>
      </w:r>
      <w:proofErr w:type="spellStart"/>
      <w:r w:rsidRPr="00885231">
        <w:rPr>
          <w:color w:val="000000"/>
          <w:kern w:val="24"/>
          <w:lang w:val="en-GB"/>
        </w:rPr>
        <w:t>dualidade</w:t>
      </w:r>
      <w:proofErr w:type="spellEnd"/>
      <w:r w:rsidRPr="00885231">
        <w:rPr>
          <w:color w:val="000000"/>
          <w:kern w:val="24"/>
          <w:lang w:val="en-GB"/>
        </w:rPr>
        <w:t xml:space="preserve"> do </w:t>
      </w:r>
      <w:proofErr w:type="spellStart"/>
      <w:r w:rsidRPr="00885231">
        <w:rPr>
          <w:color w:val="000000"/>
          <w:kern w:val="24"/>
          <w:lang w:val="en-GB"/>
        </w:rPr>
        <w:t>arquivar</w:t>
      </w:r>
      <w:proofErr w:type="spellEnd"/>
      <w:r>
        <w:rPr>
          <w:color w:val="000000"/>
          <w:kern w:val="24"/>
          <w:lang w:val="en-GB"/>
        </w:rPr>
        <w:t>)</w:t>
      </w:r>
      <w:r w:rsidRPr="009571DE">
        <w:rPr>
          <w:rFonts w:eastAsia="Calibri"/>
          <w:lang w:val="en-GB" w:eastAsia="en-US"/>
        </w:rPr>
        <w:t>: we construct the archive and are constructed by the archive.</w:t>
      </w:r>
      <w:r>
        <w:rPr>
          <w:rStyle w:val="Eindnootmarkering"/>
          <w:rFonts w:eastAsia="Calibri"/>
          <w:lang w:val="en-GB" w:eastAsia="en-US"/>
        </w:rPr>
        <w:endnoteReference w:id="44"/>
      </w:r>
      <w:r w:rsidRPr="009571DE">
        <w:rPr>
          <w:rFonts w:eastAsia="Calibri"/>
          <w:lang w:val="en-GB" w:eastAsia="en-US"/>
        </w:rPr>
        <w:t xml:space="preserve"> Joseph Morsel calls this the sociogenetic outcome of archiving. Or, to borrow from Anthony Giddens’ duality of structure: structural (or structuring) properties of archiving (communicative action) are produced and reproduced in what people do, they are the medium </w:t>
      </w:r>
      <w:r w:rsidRPr="00E7426D">
        <w:rPr>
          <w:rFonts w:eastAsia="Calibri"/>
          <w:i/>
          <w:iCs/>
          <w:lang w:val="en-GB" w:eastAsia="en-US"/>
        </w:rPr>
        <w:t>and</w:t>
      </w:r>
      <w:r w:rsidRPr="009571DE">
        <w:rPr>
          <w:rFonts w:eastAsia="Calibri"/>
          <w:lang w:val="en-GB" w:eastAsia="en-US"/>
        </w:rPr>
        <w:t xml:space="preserve"> the outcome of activities of actors. </w:t>
      </w:r>
      <w:r>
        <w:rPr>
          <w:rFonts w:eastAsia="Calibri"/>
          <w:lang w:val="en-GB" w:eastAsia="en-US"/>
        </w:rPr>
        <w:t>As Felipa Lopes argued, ‘</w:t>
      </w:r>
      <w:r w:rsidRPr="000B2C76">
        <w:rPr>
          <w:lang w:val="en-US"/>
        </w:rPr>
        <w:t>In fact, the profile, nature and social behavior of families conditioned the</w:t>
      </w:r>
      <w:r>
        <w:rPr>
          <w:lang w:val="en-US"/>
        </w:rPr>
        <w:t xml:space="preserve"> </w:t>
      </w:r>
      <w:r w:rsidRPr="000B2C76">
        <w:rPr>
          <w:lang w:val="en-US"/>
        </w:rPr>
        <w:t>type of documentation that was produced and preserved. Consequently, their</w:t>
      </w:r>
      <w:r>
        <w:rPr>
          <w:lang w:val="en-US"/>
        </w:rPr>
        <w:t xml:space="preserve"> </w:t>
      </w:r>
      <w:r w:rsidRPr="000B2C76">
        <w:rPr>
          <w:lang w:val="en-US"/>
        </w:rPr>
        <w:t>archives provide clues as to how families self-regulated and saw themselves.</w:t>
      </w:r>
      <w:r>
        <w:rPr>
          <w:lang w:val="en-US"/>
        </w:rPr>
        <w:t>’</w:t>
      </w:r>
      <w:r>
        <w:rPr>
          <w:rStyle w:val="Eindnootmarkering"/>
          <w:lang w:val="en-US"/>
        </w:rPr>
        <w:endnoteReference w:id="45"/>
      </w:r>
    </w:p>
    <w:p w14:paraId="476308D2" w14:textId="74319504" w:rsidR="00686023" w:rsidRPr="009571DE" w:rsidRDefault="00686023" w:rsidP="00FE3B26">
      <w:pPr>
        <w:spacing w:before="240" w:after="200"/>
        <w:rPr>
          <w:rFonts w:eastAsia="Calibri"/>
          <w:lang w:val="en-GB" w:eastAsia="en-US"/>
        </w:rPr>
      </w:pPr>
      <w:r w:rsidRPr="009571DE">
        <w:rPr>
          <w:rFonts w:eastAsia="Calibri"/>
          <w:lang w:val="en-GB" w:eastAsia="en-US"/>
        </w:rPr>
        <w:t xml:space="preserve">Archiving is a social practice, entailing a social logic. That logic is conditioned by what the Dutch historian Judith Pollmann calls the scripts available within a family, social group, or community. These scripts are included in Markus Friedrich’s ‘archival ideologies’. I have proposed the concept of </w:t>
      </w:r>
      <w:r w:rsidRPr="009571DE">
        <w:rPr>
          <w:rFonts w:eastAsia="Calibri"/>
          <w:lang w:val="en-GB"/>
        </w:rPr>
        <w:t>archivalization:</w:t>
      </w:r>
      <w:r>
        <w:rPr>
          <w:rStyle w:val="Eindnootmarkering"/>
          <w:rFonts w:eastAsia="Calibri"/>
          <w:lang w:val="en-GB"/>
        </w:rPr>
        <w:endnoteReference w:id="46"/>
      </w:r>
      <w:r w:rsidRPr="009571DE">
        <w:rPr>
          <w:rFonts w:eastAsia="Calibri"/>
          <w:lang w:val="en-GB"/>
        </w:rPr>
        <w:t xml:space="preserve"> </w:t>
      </w:r>
      <w:r w:rsidRPr="009571DE">
        <w:rPr>
          <w:rFonts w:eastAsia="Calibri"/>
          <w:lang w:val="en-US"/>
        </w:rPr>
        <w:t>the conscious or unconscious choice (determined by social and cultural factors) to consider something worth archiving:</w:t>
      </w:r>
      <w:r>
        <w:rPr>
          <w:rFonts w:eastAsia="Calibri"/>
          <w:lang w:val="en-US"/>
        </w:rPr>
        <w:t xml:space="preserve"> </w:t>
      </w:r>
      <w:proofErr w:type="spellStart"/>
      <w:r w:rsidRPr="009571DE">
        <w:rPr>
          <w:rFonts w:eastAsia="Calibri"/>
          <w:lang w:val="en-GB"/>
        </w:rPr>
        <w:t>arquivalização</w:t>
      </w:r>
      <w:proofErr w:type="spellEnd"/>
      <w:r w:rsidRPr="009571DE">
        <w:rPr>
          <w:rFonts w:eastAsia="Calibri"/>
          <w:lang w:val="en-GB"/>
        </w:rPr>
        <w:t xml:space="preserve">, a </w:t>
      </w:r>
      <w:proofErr w:type="spellStart"/>
      <w:r w:rsidRPr="009571DE">
        <w:rPr>
          <w:rFonts w:eastAsia="Calibri"/>
          <w:lang w:val="en-GB"/>
        </w:rPr>
        <w:t>escolha</w:t>
      </w:r>
      <w:proofErr w:type="spellEnd"/>
      <w:r w:rsidRPr="009571DE">
        <w:rPr>
          <w:rFonts w:eastAsia="Calibri"/>
          <w:lang w:val="en-GB"/>
        </w:rPr>
        <w:t xml:space="preserve"> </w:t>
      </w:r>
      <w:proofErr w:type="spellStart"/>
      <w:r w:rsidRPr="009571DE">
        <w:rPr>
          <w:rFonts w:eastAsia="Calibri"/>
          <w:lang w:val="en-GB"/>
        </w:rPr>
        <w:t>consciente</w:t>
      </w:r>
      <w:proofErr w:type="spellEnd"/>
      <w:r w:rsidRPr="009571DE">
        <w:rPr>
          <w:rFonts w:eastAsia="Calibri"/>
          <w:lang w:val="en-GB"/>
        </w:rPr>
        <w:t xml:space="preserve"> </w:t>
      </w:r>
      <w:proofErr w:type="spellStart"/>
      <w:r w:rsidRPr="009571DE">
        <w:rPr>
          <w:rFonts w:eastAsia="Calibri"/>
          <w:lang w:val="en-GB"/>
        </w:rPr>
        <w:t>ou</w:t>
      </w:r>
      <w:proofErr w:type="spellEnd"/>
      <w:r w:rsidRPr="009571DE">
        <w:rPr>
          <w:rFonts w:eastAsia="Calibri"/>
          <w:lang w:val="en-GB"/>
        </w:rPr>
        <w:t xml:space="preserve"> </w:t>
      </w:r>
      <w:proofErr w:type="spellStart"/>
      <w:r w:rsidRPr="009571DE">
        <w:rPr>
          <w:rFonts w:eastAsia="Calibri"/>
          <w:lang w:val="en-GB"/>
        </w:rPr>
        <w:t>inconsciente</w:t>
      </w:r>
      <w:proofErr w:type="spellEnd"/>
      <w:r w:rsidRPr="009571DE">
        <w:rPr>
          <w:rFonts w:eastAsia="Calibri"/>
          <w:lang w:val="en-GB"/>
        </w:rPr>
        <w:t xml:space="preserve"> (</w:t>
      </w:r>
      <w:proofErr w:type="spellStart"/>
      <w:r w:rsidRPr="009571DE">
        <w:rPr>
          <w:rFonts w:eastAsia="Calibri"/>
          <w:lang w:val="en-GB"/>
        </w:rPr>
        <w:t>determinada</w:t>
      </w:r>
      <w:proofErr w:type="spellEnd"/>
      <w:r w:rsidRPr="009571DE">
        <w:rPr>
          <w:rFonts w:eastAsia="Calibri"/>
          <w:lang w:val="en-GB"/>
        </w:rPr>
        <w:t xml:space="preserve"> </w:t>
      </w:r>
      <w:proofErr w:type="spellStart"/>
      <w:r w:rsidRPr="009571DE">
        <w:rPr>
          <w:rFonts w:eastAsia="Calibri"/>
          <w:lang w:val="en-GB"/>
        </w:rPr>
        <w:t>por</w:t>
      </w:r>
      <w:proofErr w:type="spellEnd"/>
      <w:r w:rsidRPr="009571DE">
        <w:rPr>
          <w:rFonts w:eastAsia="Calibri"/>
          <w:lang w:val="en-GB"/>
        </w:rPr>
        <w:t xml:space="preserve"> </w:t>
      </w:r>
      <w:proofErr w:type="spellStart"/>
      <w:r w:rsidRPr="009571DE">
        <w:rPr>
          <w:rFonts w:eastAsia="Calibri"/>
          <w:lang w:val="en-GB"/>
        </w:rPr>
        <w:t>fatores</w:t>
      </w:r>
      <w:proofErr w:type="spellEnd"/>
      <w:r w:rsidRPr="009571DE">
        <w:rPr>
          <w:rFonts w:eastAsia="Calibri"/>
          <w:lang w:val="en-GB"/>
        </w:rPr>
        <w:t xml:space="preserve"> </w:t>
      </w:r>
      <w:proofErr w:type="spellStart"/>
      <w:r w:rsidRPr="009571DE">
        <w:rPr>
          <w:rFonts w:eastAsia="Calibri"/>
          <w:lang w:val="en-GB"/>
        </w:rPr>
        <w:t>sociais</w:t>
      </w:r>
      <w:proofErr w:type="spellEnd"/>
      <w:r w:rsidRPr="009571DE">
        <w:rPr>
          <w:rFonts w:eastAsia="Calibri"/>
          <w:lang w:val="en-GB"/>
        </w:rPr>
        <w:t xml:space="preserve"> e </w:t>
      </w:r>
      <w:proofErr w:type="spellStart"/>
      <w:r w:rsidRPr="009571DE">
        <w:rPr>
          <w:rFonts w:eastAsia="Calibri"/>
          <w:lang w:val="en-GB"/>
        </w:rPr>
        <w:t>culturais</w:t>
      </w:r>
      <w:proofErr w:type="spellEnd"/>
      <w:r w:rsidRPr="009571DE">
        <w:rPr>
          <w:rFonts w:eastAsia="Calibri"/>
          <w:lang w:val="en-GB"/>
        </w:rPr>
        <w:t xml:space="preserve">) para </w:t>
      </w:r>
      <w:proofErr w:type="spellStart"/>
      <w:r w:rsidRPr="009571DE">
        <w:rPr>
          <w:rFonts w:eastAsia="Calibri"/>
          <w:lang w:val="en-GB"/>
        </w:rPr>
        <w:t>considerar</w:t>
      </w:r>
      <w:proofErr w:type="spellEnd"/>
      <w:r w:rsidRPr="009571DE">
        <w:rPr>
          <w:rFonts w:eastAsia="Calibri"/>
          <w:lang w:val="en-GB"/>
        </w:rPr>
        <w:t xml:space="preserve"> se algo </w:t>
      </w:r>
      <w:proofErr w:type="spellStart"/>
      <w:r w:rsidRPr="009571DE">
        <w:rPr>
          <w:rFonts w:eastAsia="Calibri"/>
          <w:lang w:val="en-GB"/>
        </w:rPr>
        <w:t>merece</w:t>
      </w:r>
      <w:proofErr w:type="spellEnd"/>
      <w:r w:rsidRPr="009571DE">
        <w:rPr>
          <w:rFonts w:eastAsia="Calibri"/>
          <w:lang w:val="en-GB"/>
        </w:rPr>
        <w:t xml:space="preserve"> ser </w:t>
      </w:r>
      <w:proofErr w:type="spellStart"/>
      <w:r w:rsidRPr="009571DE">
        <w:rPr>
          <w:rFonts w:eastAsia="Calibri"/>
          <w:lang w:val="en-GB"/>
        </w:rPr>
        <w:t>arquivado</w:t>
      </w:r>
      <w:proofErr w:type="spellEnd"/>
      <w:r w:rsidRPr="009571DE">
        <w:rPr>
          <w:rFonts w:eastAsia="Calibri"/>
          <w:lang w:val="en-GB"/>
        </w:rPr>
        <w:t>.</w:t>
      </w:r>
    </w:p>
    <w:p w14:paraId="3206BE30" w14:textId="2F3575C6" w:rsidR="00686023" w:rsidRPr="009571DE" w:rsidRDefault="00686023" w:rsidP="006A7D2C">
      <w:pPr>
        <w:spacing w:after="200"/>
        <w:rPr>
          <w:rFonts w:eastAsia="Calibri"/>
          <w:lang w:val="en-GB" w:eastAsia="en-US"/>
        </w:rPr>
      </w:pPr>
      <w:r w:rsidRPr="009571DE">
        <w:rPr>
          <w:rFonts w:eastAsia="Calibri"/>
          <w:lang w:val="en-GB" w:eastAsia="en-US"/>
        </w:rPr>
        <w:t>Archivalization permeates the family too. We must be aware of the fact that a family archive, like every archive, is a construction. What did the family want to keep and what did they destroy? Think of sensitive correspondence, diaries, financial documents concerning a bankruptcy.</w:t>
      </w:r>
      <w:r>
        <w:rPr>
          <w:rStyle w:val="Eindnootmarkering"/>
          <w:rFonts w:eastAsia="Calibri"/>
          <w:lang w:val="en-GB" w:eastAsia="en-US"/>
        </w:rPr>
        <w:endnoteReference w:id="47"/>
      </w:r>
      <w:r w:rsidRPr="009571DE">
        <w:rPr>
          <w:rFonts w:eastAsia="Calibri"/>
          <w:lang w:val="en-GB" w:eastAsia="en-US"/>
        </w:rPr>
        <w:t xml:space="preserve"> </w:t>
      </w:r>
      <w:r>
        <w:rPr>
          <w:rFonts w:eastAsia="Calibri"/>
          <w:lang w:val="en-GB" w:eastAsia="en-US"/>
        </w:rPr>
        <w:t>‘Understanding “family archive” is dependent on understanding family politics,’ as Verne Harris wrote.</w:t>
      </w:r>
      <w:r>
        <w:rPr>
          <w:rStyle w:val="Eindnootmarkering"/>
          <w:rFonts w:eastAsia="Calibri"/>
          <w:lang w:val="en-GB" w:eastAsia="en-US"/>
        </w:rPr>
        <w:endnoteReference w:id="48"/>
      </w:r>
      <w:r>
        <w:rPr>
          <w:rFonts w:eastAsia="Calibri"/>
          <w:lang w:val="en-GB" w:eastAsia="en-US"/>
        </w:rPr>
        <w:t xml:space="preserve"> </w:t>
      </w:r>
      <w:r w:rsidRPr="009571DE">
        <w:rPr>
          <w:rFonts w:eastAsia="Calibri"/>
          <w:lang w:val="en-GB" w:eastAsia="en-US"/>
        </w:rPr>
        <w:t>The family archive reflects the image that the family wants to give of itself. Timo de Nijs, who has been researching the family life of the well-to-do citizen of Rotterdam since the end of the nineteenth century, concludes that the content and form of a family archive, even its existence alone, was part of 'the discourse that families kept about themselves'. That is very normal. People in their dealings with objects</w:t>
      </w:r>
      <w:r>
        <w:rPr>
          <w:rFonts w:eastAsia="Calibri"/>
          <w:lang w:val="en-GB" w:eastAsia="en-US"/>
        </w:rPr>
        <w:t>—</w:t>
      </w:r>
      <w:r w:rsidRPr="009571DE">
        <w:rPr>
          <w:rFonts w:eastAsia="Calibri"/>
          <w:lang w:val="en-GB" w:eastAsia="en-US"/>
        </w:rPr>
        <w:t>furniture, art, photos, books, musical instruments, scrapbooks and also archives</w:t>
      </w:r>
      <w:r>
        <w:rPr>
          <w:rFonts w:eastAsia="Calibri"/>
          <w:lang w:val="en-GB" w:eastAsia="en-US"/>
        </w:rPr>
        <w:t>—</w:t>
      </w:r>
      <w:r w:rsidRPr="009571DE">
        <w:rPr>
          <w:rFonts w:eastAsia="Calibri"/>
          <w:lang w:val="en-GB" w:eastAsia="en-US"/>
        </w:rPr>
        <w:t>define who they are, or were or want to become. But that identification belongs to the ‘tacit narratives’ of the family archive. When describing a family archive and when characterizing its components, account should be taken of the constructedness of the archive that results from the self-image not only that of the archive creators, but also that of the descendants who save the archive or donate or deposit it at an archive institution. These self-images are formed in a social context that varies according to time and place.</w:t>
      </w:r>
    </w:p>
    <w:p w14:paraId="7A8042C1" w14:textId="77777777" w:rsidR="00686023" w:rsidRPr="00E66F98" w:rsidRDefault="00686023" w:rsidP="00E66F98">
      <w:pPr>
        <w:spacing w:after="160"/>
        <w:rPr>
          <w:rFonts w:eastAsia="Calibri"/>
          <w:u w:val="single"/>
          <w:lang w:val="en-GB" w:eastAsia="en-US"/>
        </w:rPr>
      </w:pPr>
      <w:r w:rsidRPr="00E66F98">
        <w:rPr>
          <w:rFonts w:eastAsia="Calibri"/>
          <w:u w:val="single"/>
          <w:lang w:val="en-GB" w:eastAsia="en-US"/>
        </w:rPr>
        <w:t>Absences</w:t>
      </w:r>
    </w:p>
    <w:p w14:paraId="50285ED4" w14:textId="0B80AB4D" w:rsidR="00686023" w:rsidRPr="00E66F98" w:rsidRDefault="00686023" w:rsidP="008A727D">
      <w:pPr>
        <w:autoSpaceDE w:val="0"/>
        <w:autoSpaceDN w:val="0"/>
        <w:adjustRightInd w:val="0"/>
        <w:rPr>
          <w:rFonts w:eastAsia="Calibri"/>
          <w:lang w:val="en-GB" w:eastAsia="en-US"/>
        </w:rPr>
      </w:pPr>
      <w:r w:rsidRPr="00E951E0">
        <w:rPr>
          <w:rFonts w:eastAsia="Calibri"/>
          <w:lang w:val="en-GB" w:eastAsia="en-US"/>
        </w:rPr>
        <w:t xml:space="preserve">Studying archiving in the past, focusing on the people involved in archiving made me realize that, in fact, destruction is the default, and preservation is accidental. </w:t>
      </w:r>
      <w:r w:rsidRPr="00E951E0">
        <w:rPr>
          <w:rFonts w:eastAsia="Calibri"/>
          <w:lang w:val="fr-FR" w:eastAsia="en-US"/>
        </w:rPr>
        <w:t xml:space="preserve">Olivier Poncet </w:t>
      </w:r>
      <w:proofErr w:type="spellStart"/>
      <w:r w:rsidRPr="00E951E0">
        <w:rPr>
          <w:rFonts w:eastAsia="Calibri"/>
          <w:lang w:val="fr-FR" w:eastAsia="en-US"/>
        </w:rPr>
        <w:t>quotes</w:t>
      </w:r>
      <w:proofErr w:type="spellEnd"/>
      <w:r w:rsidRPr="00E951E0">
        <w:rPr>
          <w:rFonts w:eastAsia="Calibri"/>
          <w:lang w:val="fr-FR" w:eastAsia="en-US"/>
        </w:rPr>
        <w:t xml:space="preserve"> Leibniz (1714):</w:t>
      </w:r>
      <w:r>
        <w:rPr>
          <w:rFonts w:eastAsia="Calibri"/>
          <w:lang w:val="fr-FR" w:eastAsia="en-US"/>
        </w:rPr>
        <w:t> » </w:t>
      </w:r>
      <w:r w:rsidRPr="00E951E0">
        <w:rPr>
          <w:lang w:val="fr-FR"/>
          <w14:ligatures w14:val="none"/>
        </w:rPr>
        <w:t>Pourquoi il y a plutôt quelque chose que rien ?</w:t>
      </w:r>
      <w:r>
        <w:rPr>
          <w:rStyle w:val="Eindnootmarkering"/>
          <w:lang w:val="fr-FR"/>
          <w14:ligatures w14:val="none"/>
        </w:rPr>
        <w:endnoteReference w:id="49"/>
      </w:r>
      <w:r>
        <w:rPr>
          <w:lang w:val="fr-FR"/>
          <w14:ligatures w14:val="none"/>
        </w:rPr>
        <w:t> </w:t>
      </w:r>
      <w:r>
        <w:rPr>
          <w:rFonts w:eastAsia="Calibri"/>
          <w:lang w:val="fr-FR" w:eastAsia="en-US"/>
        </w:rPr>
        <w:t>’</w:t>
      </w:r>
      <w:r w:rsidRPr="008A727D">
        <w:rPr>
          <w:rFonts w:eastAsia="Calibri"/>
          <w:lang w:val="fr-FR" w:eastAsia="en-US"/>
        </w:rPr>
        <w:t xml:space="preserve">Why </w:t>
      </w:r>
      <w:proofErr w:type="spellStart"/>
      <w:r w:rsidRPr="008A727D">
        <w:rPr>
          <w:rFonts w:eastAsia="Calibri"/>
          <w:lang w:val="fr-FR" w:eastAsia="en-US"/>
        </w:rPr>
        <w:t>is</w:t>
      </w:r>
      <w:proofErr w:type="spellEnd"/>
      <w:r w:rsidRPr="008A727D">
        <w:rPr>
          <w:rFonts w:eastAsia="Calibri"/>
          <w:lang w:val="fr-FR" w:eastAsia="en-US"/>
        </w:rPr>
        <w:t xml:space="preserve"> </w:t>
      </w:r>
      <w:proofErr w:type="spellStart"/>
      <w:r w:rsidRPr="008A727D">
        <w:rPr>
          <w:rFonts w:eastAsia="Calibri"/>
          <w:lang w:val="fr-FR" w:eastAsia="en-US"/>
        </w:rPr>
        <w:t>there</w:t>
      </w:r>
      <w:proofErr w:type="spellEnd"/>
      <w:r w:rsidRPr="008A727D">
        <w:rPr>
          <w:rFonts w:eastAsia="Calibri"/>
          <w:lang w:val="fr-FR" w:eastAsia="en-US"/>
        </w:rPr>
        <w:t xml:space="preserve"> </w:t>
      </w:r>
      <w:proofErr w:type="spellStart"/>
      <w:r w:rsidRPr="008A727D">
        <w:rPr>
          <w:rFonts w:eastAsia="Calibri"/>
          <w:lang w:val="fr-FR" w:eastAsia="en-US"/>
        </w:rPr>
        <w:t>something</w:t>
      </w:r>
      <w:proofErr w:type="spellEnd"/>
      <w:r w:rsidRPr="008A727D">
        <w:rPr>
          <w:rFonts w:eastAsia="Calibri"/>
          <w:lang w:val="fr-FR" w:eastAsia="en-US"/>
        </w:rPr>
        <w:t xml:space="preserve"> </w:t>
      </w:r>
      <w:proofErr w:type="spellStart"/>
      <w:r w:rsidRPr="008A727D">
        <w:rPr>
          <w:rFonts w:eastAsia="Calibri"/>
          <w:lang w:val="fr-FR" w:eastAsia="en-US"/>
        </w:rPr>
        <w:t>rather</w:t>
      </w:r>
      <w:proofErr w:type="spellEnd"/>
      <w:r w:rsidRPr="008A727D">
        <w:rPr>
          <w:rFonts w:eastAsia="Calibri"/>
          <w:lang w:val="fr-FR" w:eastAsia="en-US"/>
        </w:rPr>
        <w:t xml:space="preserve"> </w:t>
      </w:r>
      <w:proofErr w:type="spellStart"/>
      <w:r w:rsidRPr="008A727D">
        <w:rPr>
          <w:rFonts w:eastAsia="Calibri"/>
          <w:lang w:val="fr-FR" w:eastAsia="en-US"/>
        </w:rPr>
        <w:t>than</w:t>
      </w:r>
      <w:proofErr w:type="spellEnd"/>
      <w:r w:rsidRPr="008A727D">
        <w:rPr>
          <w:rFonts w:eastAsia="Calibri"/>
          <w:lang w:val="fr-FR" w:eastAsia="en-US"/>
        </w:rPr>
        <w:t xml:space="preserve"> </w:t>
      </w:r>
      <w:proofErr w:type="spellStart"/>
      <w:r w:rsidRPr="008A727D">
        <w:rPr>
          <w:rFonts w:eastAsia="Calibri"/>
          <w:lang w:val="fr-FR" w:eastAsia="en-US"/>
        </w:rPr>
        <w:t>nothing</w:t>
      </w:r>
      <w:proofErr w:type="spellEnd"/>
      <w:r>
        <w:rPr>
          <w:rFonts w:eastAsia="Calibri"/>
          <w:lang w:val="fr-FR" w:eastAsia="en-US"/>
        </w:rPr>
        <w:t>.’</w:t>
      </w:r>
      <w:r w:rsidRPr="00E951E0">
        <w:rPr>
          <w:lang w:val="fr-FR"/>
          <w14:ligatures w14:val="none"/>
        </w:rPr>
        <w:t xml:space="preserve"> And Leibniz continues «Car le rien est plus simple et plus facile que quelque chose.</w:t>
      </w:r>
      <w:r>
        <w:rPr>
          <w:lang w:val="fr-FR"/>
          <w14:ligatures w14:val="none"/>
        </w:rPr>
        <w:t> »</w:t>
      </w:r>
      <w:r w:rsidRPr="00E951E0">
        <w:rPr>
          <w:lang w:val="fr-FR"/>
          <w14:ligatures w14:val="none"/>
        </w:rPr>
        <w:t> </w:t>
      </w:r>
      <w:r w:rsidRPr="004E139C">
        <w:rPr>
          <w:lang w:val="fr-FR"/>
          <w14:ligatures w14:val="none"/>
        </w:rPr>
        <w:t> </w:t>
      </w:r>
      <w:r>
        <w:rPr>
          <w:lang w:val="en-US"/>
          <w14:ligatures w14:val="none"/>
        </w:rPr>
        <w:t>‘</w:t>
      </w:r>
      <w:r w:rsidRPr="00E951E0">
        <w:rPr>
          <w:rFonts w:eastAsia="Calibri"/>
          <w:lang w:val="en-GB" w:eastAsia="en-US"/>
        </w:rPr>
        <w:t>After</w:t>
      </w:r>
      <w:r w:rsidRPr="00E66F98">
        <w:rPr>
          <w:rFonts w:eastAsia="Calibri"/>
          <w:lang w:val="en-GB" w:eastAsia="en-US"/>
        </w:rPr>
        <w:t xml:space="preserve"> all, nothing is simpler and easier than something.</w:t>
      </w:r>
      <w:r>
        <w:rPr>
          <w:rFonts w:eastAsia="Calibri"/>
          <w:lang w:val="en-GB" w:eastAsia="en-US"/>
        </w:rPr>
        <w:t>’</w:t>
      </w:r>
      <w:r w:rsidRPr="00E66F98">
        <w:rPr>
          <w:rFonts w:eastAsia="Calibri"/>
          <w:lang w:val="en-GB" w:eastAsia="en-US"/>
        </w:rPr>
        <w:t xml:space="preserve"> And Poncet embarks on a quest for absences, for archives that have </w:t>
      </w:r>
      <w:r w:rsidRPr="00E66F98">
        <w:rPr>
          <w:rFonts w:eastAsia="Calibri"/>
          <w:u w:val="single"/>
          <w:lang w:val="en-GB" w:eastAsia="en-US"/>
        </w:rPr>
        <w:t>not</w:t>
      </w:r>
      <w:r w:rsidRPr="00E66F98">
        <w:rPr>
          <w:rFonts w:eastAsia="Calibri"/>
          <w:lang w:val="en-GB" w:eastAsia="en-US"/>
        </w:rPr>
        <w:t xml:space="preserve"> been formed, for what Michelle Caswell calls the imaginary archive. To paraphrase Carolyn Steedman’s </w:t>
      </w:r>
      <w:r w:rsidRPr="00E66F98">
        <w:rPr>
          <w:rFonts w:eastAsia="Calibri"/>
          <w:i/>
          <w:iCs/>
          <w:lang w:val="en-GB" w:eastAsia="en-US"/>
        </w:rPr>
        <w:t>Dust</w:t>
      </w:r>
      <w:r w:rsidRPr="00E66F98">
        <w:rPr>
          <w:rFonts w:eastAsia="Calibri"/>
          <w:lang w:val="en-GB" w:eastAsia="en-US"/>
        </w:rPr>
        <w:t>: an absence is not nothing, but is rather the space left by what was never there or what has gone</w:t>
      </w:r>
      <w:r>
        <w:rPr>
          <w:rFonts w:eastAsia="Calibri"/>
          <w:lang w:val="en-GB" w:eastAsia="en-US"/>
        </w:rPr>
        <w:t>.</w:t>
      </w:r>
      <w:r>
        <w:rPr>
          <w:rStyle w:val="Eindnootmarkering"/>
          <w:rFonts w:eastAsia="Calibri"/>
          <w:lang w:val="en-GB" w:eastAsia="en-US"/>
        </w:rPr>
        <w:endnoteReference w:id="50"/>
      </w:r>
      <w:r w:rsidRPr="00E66F98">
        <w:rPr>
          <w:rFonts w:eastAsia="Calibri"/>
          <w:lang w:val="en-GB" w:eastAsia="en-US"/>
        </w:rPr>
        <w:t xml:space="preserve"> In principle, everything is lost simply because everything passes away over time. </w:t>
      </w:r>
      <w:r>
        <w:rPr>
          <w:rFonts w:eastAsia="Calibri"/>
          <w:lang w:val="en-GB" w:eastAsia="en-US"/>
        </w:rPr>
        <w:t>T</w:t>
      </w:r>
      <w:r w:rsidRPr="00E66F98">
        <w:rPr>
          <w:rFonts w:eastAsia="Calibri"/>
          <w:lang w:val="en-GB" w:eastAsia="en-US"/>
        </w:rPr>
        <w:t xml:space="preserve">his also applies to emails, digital photos and WhatsApp messages that are stored on a device without any selection. They are </w:t>
      </w:r>
      <w:r w:rsidRPr="00E66F98">
        <w:rPr>
          <w:rFonts w:eastAsia="Calibri"/>
          <w:lang w:val="en-GB" w:eastAsia="en-US"/>
        </w:rPr>
        <w:lastRenderedPageBreak/>
        <w:t>irrevocably lost, at the latest when the device breaks down, is discarded or recycled. Only by that time do users take care of everything that has been kept and do they try to save anything from it. In terms of Michael Thompson’s ‘rubbish theory’: everything is rubbish or at best transient, the exception is whenever someone assigns value whereby the stuff becomes durable. Survival of archives is only a chance, which is a warning to archive users: beware of survivorship bias.</w:t>
      </w:r>
      <w:r w:rsidRPr="00E66F98">
        <w:rPr>
          <w:rFonts w:eastAsia="Calibri"/>
          <w:vertAlign w:val="superscript"/>
          <w:lang w:val="en-GB" w:eastAsia="en-US"/>
        </w:rPr>
        <w:endnoteReference w:id="51"/>
      </w:r>
      <w:r w:rsidRPr="00E66F98">
        <w:rPr>
          <w:rFonts w:eastAsia="Calibri"/>
          <w:lang w:val="en-GB" w:eastAsia="en-US"/>
        </w:rPr>
        <w:t xml:space="preserve"> Destruction is the norm against which our archival consciousness goes.</w:t>
      </w:r>
      <w:r w:rsidRPr="00E66F98">
        <w:rPr>
          <w:rFonts w:eastAsia="Calibri"/>
          <w:vertAlign w:val="superscript"/>
          <w:lang w:val="en-GB" w:eastAsia="en-US"/>
        </w:rPr>
        <w:endnoteReference w:id="52"/>
      </w:r>
      <w:r w:rsidRPr="00E66F98">
        <w:rPr>
          <w:rFonts w:eastAsia="Calibri"/>
          <w:lang w:val="en-GB" w:eastAsia="en-US"/>
        </w:rPr>
        <w:t xml:space="preserve"> As Derrida wrote: there is no archive fever without the threat of the </w:t>
      </w:r>
      <w:proofErr w:type="spellStart"/>
      <w:r w:rsidRPr="00E66F98">
        <w:rPr>
          <w:rFonts w:eastAsia="Calibri"/>
          <w:lang w:val="en-GB" w:eastAsia="en-US"/>
        </w:rPr>
        <w:t>anarchivic</w:t>
      </w:r>
      <w:proofErr w:type="spellEnd"/>
      <w:r w:rsidRPr="00E66F98">
        <w:rPr>
          <w:rFonts w:eastAsia="Calibri"/>
          <w:lang w:val="en-GB" w:eastAsia="en-US"/>
        </w:rPr>
        <w:t xml:space="preserve"> destruction.</w:t>
      </w:r>
      <w:r w:rsidRPr="00E66F98">
        <w:rPr>
          <w:rFonts w:eastAsia="Calibri"/>
          <w:vertAlign w:val="superscript"/>
          <w:lang w:val="en-GB" w:eastAsia="en-US"/>
        </w:rPr>
        <w:endnoteReference w:id="53"/>
      </w:r>
    </w:p>
    <w:p w14:paraId="37CAD5DD" w14:textId="0CCD2F91" w:rsidR="00686023" w:rsidRPr="00E66F98" w:rsidRDefault="00686023" w:rsidP="00E66F98">
      <w:pPr>
        <w:spacing w:after="160"/>
        <w:rPr>
          <w:rFonts w:eastAsia="Calibri"/>
          <w:lang w:val="en-GB" w:eastAsia="en-US"/>
        </w:rPr>
      </w:pPr>
      <w:r w:rsidRPr="00E66F98">
        <w:rPr>
          <w:rFonts w:eastAsia="Calibri"/>
          <w:lang w:val="en-GB" w:eastAsia="en-US"/>
        </w:rPr>
        <w:t xml:space="preserve">Archival history yields many examples of this primacy of destruction and other modes of what Markus Friedrich calls </w:t>
      </w:r>
      <w:r w:rsidRPr="00E66F98">
        <w:rPr>
          <w:lang w:val="en-US"/>
        </w:rPr>
        <w:t xml:space="preserve">‘counter-archival </w:t>
      </w:r>
      <w:proofErr w:type="spellStart"/>
      <w:r w:rsidRPr="00E66F98">
        <w:rPr>
          <w:lang w:val="en-US"/>
        </w:rPr>
        <w:t>behaviour</w:t>
      </w:r>
      <w:proofErr w:type="spellEnd"/>
      <w:r w:rsidRPr="00E66F98">
        <w:rPr>
          <w:lang w:val="en-US"/>
        </w:rPr>
        <w:t>’’</w:t>
      </w:r>
      <w:r w:rsidRPr="00E66F98">
        <w:rPr>
          <w:rFonts w:eastAsia="Calibri"/>
          <w:lang w:val="en-GB" w:eastAsia="en-US"/>
        </w:rPr>
        <w:t>.</w:t>
      </w:r>
      <w:r w:rsidRPr="00E66F98">
        <w:rPr>
          <w:rFonts w:eastAsia="Calibri"/>
          <w:vertAlign w:val="superscript"/>
          <w:lang w:val="en-GB" w:eastAsia="en-US"/>
        </w:rPr>
        <w:endnoteReference w:id="54"/>
      </w:r>
      <w:r w:rsidRPr="00E66F98">
        <w:rPr>
          <w:rFonts w:eastAsia="Calibri"/>
          <w:lang w:val="en-GB" w:eastAsia="en-US"/>
        </w:rPr>
        <w:t xml:space="preserve"> Not every record is meant to exist much longer than the transaction it attests. </w:t>
      </w:r>
      <w:proofErr w:type="spellStart"/>
      <w:r w:rsidRPr="00E66F98">
        <w:rPr>
          <w:rFonts w:eastAsia="Calibri"/>
          <w:lang w:val="en-GB" w:eastAsia="en-US"/>
        </w:rPr>
        <w:t>Anarchivic</w:t>
      </w:r>
      <w:proofErr w:type="spellEnd"/>
      <w:r w:rsidRPr="00E66F98">
        <w:rPr>
          <w:rFonts w:eastAsia="Calibri"/>
          <w:lang w:val="en-GB" w:eastAsia="en-US"/>
        </w:rPr>
        <w:t xml:space="preserve"> is not only destroying what has been created, but also not recording at all. I introduced the concept of ‘counter-archivalization’: the conscious or unconscious choice </w:t>
      </w:r>
      <w:r w:rsidRPr="00E66F98">
        <w:rPr>
          <w:rFonts w:eastAsia="Calibri"/>
          <w:u w:val="single"/>
          <w:lang w:val="en-GB" w:eastAsia="en-US"/>
        </w:rPr>
        <w:t>not</w:t>
      </w:r>
      <w:r w:rsidRPr="00E66F98">
        <w:rPr>
          <w:rFonts w:eastAsia="Calibri"/>
          <w:lang w:val="en-GB" w:eastAsia="en-US"/>
        </w:rPr>
        <w:t xml:space="preserve"> to record, </w:t>
      </w:r>
      <w:r w:rsidRPr="00E66F98">
        <w:rPr>
          <w:rFonts w:eastAsia="Calibri"/>
          <w:u w:val="single"/>
          <w:lang w:val="en-GB" w:eastAsia="en-US"/>
        </w:rPr>
        <w:t>not</w:t>
      </w:r>
      <w:r w:rsidRPr="00E66F98">
        <w:rPr>
          <w:rFonts w:eastAsia="Calibri"/>
          <w:lang w:val="en-GB" w:eastAsia="en-US"/>
        </w:rPr>
        <w:t xml:space="preserve"> to put things on paper.</w:t>
      </w:r>
      <w:r w:rsidRPr="00E66F98">
        <w:rPr>
          <w:rFonts w:eastAsia="Calibri"/>
          <w:vertAlign w:val="superscript"/>
          <w:lang w:val="en-GB" w:eastAsia="en-US"/>
        </w:rPr>
        <w:endnoteReference w:id="55"/>
      </w:r>
      <w:r w:rsidRPr="00E66F98">
        <w:rPr>
          <w:rFonts w:eastAsia="Calibri"/>
          <w:lang w:val="en-GB" w:eastAsia="en-US"/>
        </w:rPr>
        <w:t xml:space="preserve"> </w:t>
      </w:r>
    </w:p>
    <w:p w14:paraId="5239E977" w14:textId="77777777" w:rsidR="00686023" w:rsidRDefault="00686023" w:rsidP="006A7D2C">
      <w:pPr>
        <w:spacing w:after="200"/>
        <w:rPr>
          <w:rFonts w:eastAsia="Calibri"/>
          <w:u w:val="single"/>
          <w:lang w:val="en-GB" w:eastAsia="en-US"/>
        </w:rPr>
      </w:pPr>
    </w:p>
    <w:p w14:paraId="65088822" w14:textId="0169C868" w:rsidR="00686023" w:rsidRDefault="00686023" w:rsidP="006A7D2C">
      <w:pPr>
        <w:spacing w:after="200"/>
        <w:rPr>
          <w:rFonts w:eastAsia="Calibri"/>
          <w:lang w:val="en-GB" w:eastAsia="en-US"/>
        </w:rPr>
      </w:pPr>
      <w:r w:rsidRPr="001F1DE2">
        <w:rPr>
          <w:rFonts w:eastAsia="Calibri"/>
          <w:u w:val="single"/>
          <w:lang w:val="en-GB" w:eastAsia="en-US"/>
        </w:rPr>
        <w:t>Contexts</w:t>
      </w:r>
    </w:p>
    <w:p w14:paraId="47BAFF4B" w14:textId="07D245EA" w:rsidR="00686023" w:rsidRPr="009571DE" w:rsidRDefault="00686023" w:rsidP="006A7D2C">
      <w:pPr>
        <w:spacing w:after="200"/>
        <w:rPr>
          <w:rFonts w:eastAsia="Calibri"/>
          <w:lang w:val="en-GB" w:eastAsia="en-US"/>
        </w:rPr>
      </w:pPr>
      <w:r w:rsidRPr="009571DE">
        <w:rPr>
          <w:rFonts w:eastAsia="Calibri"/>
          <w:lang w:val="en-GB" w:eastAsia="en-US"/>
        </w:rPr>
        <w:t xml:space="preserve">I argue for making the social context </w:t>
      </w:r>
      <w:r>
        <w:rPr>
          <w:rFonts w:eastAsia="Calibri"/>
          <w:lang w:val="en-GB" w:eastAsia="en-US"/>
        </w:rPr>
        <w:t>(</w:t>
      </w:r>
      <w:r w:rsidRPr="009571DE">
        <w:rPr>
          <w:rFonts w:eastAsia="Calibri"/>
          <w:lang w:val="en-GB" w:eastAsia="en-US"/>
        </w:rPr>
        <w:t>or rather contexts</w:t>
      </w:r>
      <w:r>
        <w:rPr>
          <w:rFonts w:eastAsia="Calibri"/>
          <w:lang w:val="en-GB" w:eastAsia="en-US"/>
        </w:rPr>
        <w:t>)</w:t>
      </w:r>
      <w:r w:rsidRPr="009571DE">
        <w:rPr>
          <w:rFonts w:eastAsia="Calibri"/>
          <w:lang w:val="en-GB" w:eastAsia="en-US"/>
        </w:rPr>
        <w:t xml:space="preserve"> transparent</w:t>
      </w:r>
      <w:r>
        <w:rPr>
          <w:rFonts w:eastAsia="Calibri"/>
          <w:lang w:val="en-GB" w:eastAsia="en-US"/>
        </w:rPr>
        <w:t>—</w:t>
      </w:r>
      <w:r w:rsidRPr="009571DE">
        <w:rPr>
          <w:rFonts w:eastAsia="Calibri"/>
          <w:lang w:val="en-GB" w:eastAsia="en-US"/>
        </w:rPr>
        <w:t>the contexts in which the archival documents are created, used, misused, selected, ordered, described and used.</w:t>
      </w:r>
      <w:r>
        <w:rPr>
          <w:rStyle w:val="Eindnootmarkering"/>
          <w:rFonts w:eastAsia="Calibri"/>
          <w:lang w:val="en-GB" w:eastAsia="en-US"/>
        </w:rPr>
        <w:endnoteReference w:id="56"/>
      </w:r>
      <w:r w:rsidRPr="009571DE">
        <w:rPr>
          <w:rFonts w:eastAsia="Calibri"/>
          <w:lang w:val="en-GB" w:eastAsia="en-US"/>
        </w:rPr>
        <w:t xml:space="preserve"> This makes the scripts that once applied in the genre system visible. A strictly diplomatic or legal description of the components of the family archive is not sufficient. This must be supplemented</w:t>
      </w:r>
      <w:r>
        <w:rPr>
          <w:rFonts w:eastAsia="Calibri"/>
          <w:lang w:val="en-GB" w:eastAsia="en-US"/>
        </w:rPr>
        <w:t>—</w:t>
      </w:r>
      <w:r w:rsidRPr="009571DE">
        <w:rPr>
          <w:rFonts w:eastAsia="Calibri"/>
          <w:lang w:val="en-GB" w:eastAsia="en-US"/>
        </w:rPr>
        <w:t>sometimes replaced</w:t>
      </w:r>
      <w:r>
        <w:rPr>
          <w:rFonts w:eastAsia="Calibri"/>
          <w:lang w:val="en-GB" w:eastAsia="en-US"/>
        </w:rPr>
        <w:t>—</w:t>
      </w:r>
      <w:r w:rsidRPr="009571DE">
        <w:rPr>
          <w:rFonts w:eastAsia="Calibri"/>
          <w:lang w:val="en-GB" w:eastAsia="en-US"/>
        </w:rPr>
        <w:t xml:space="preserve">by a new narrative that can often be literally a story or several stories that are added by family members, archivists and others. The relational description </w:t>
      </w:r>
      <w:r>
        <w:rPr>
          <w:rFonts w:eastAsia="Calibri"/>
          <w:lang w:val="en-GB" w:eastAsia="en-US"/>
        </w:rPr>
        <w:t>protocols</w:t>
      </w:r>
      <w:r w:rsidRPr="009571DE">
        <w:rPr>
          <w:rFonts w:eastAsia="Calibri"/>
          <w:lang w:val="en-GB" w:eastAsia="en-US"/>
        </w:rPr>
        <w:t xml:space="preserve"> recently proposed in archival literature are very suitable for this. new standard for multidimensional description 'Records in contexts' (note the plural!) or </w:t>
      </w:r>
      <w:proofErr w:type="spellStart"/>
      <w:r w:rsidRPr="009571DE">
        <w:rPr>
          <w:rFonts w:eastAsia="Calibri"/>
          <w:lang w:val="en-GB" w:eastAsia="en-US"/>
        </w:rPr>
        <w:t>RiC</w:t>
      </w:r>
      <w:proofErr w:type="spellEnd"/>
      <w:r w:rsidRPr="009571DE">
        <w:rPr>
          <w:rFonts w:eastAsia="Calibri"/>
          <w:lang w:val="en-GB" w:eastAsia="en-US"/>
        </w:rPr>
        <w:t>, distributed not long ago by the International Council on Archives.</w:t>
      </w:r>
      <w:r>
        <w:rPr>
          <w:rStyle w:val="Eindnootmarkering"/>
          <w:rFonts w:eastAsia="Calibri"/>
          <w:lang w:val="en-GB" w:eastAsia="en-US"/>
        </w:rPr>
        <w:endnoteReference w:id="57"/>
      </w:r>
      <w:r w:rsidRPr="009571DE">
        <w:rPr>
          <w:rFonts w:eastAsia="Calibri"/>
          <w:lang w:val="en-GB" w:eastAsia="en-US"/>
        </w:rPr>
        <w:t xml:space="preserve"> The </w:t>
      </w:r>
      <w:r>
        <w:rPr>
          <w:rFonts w:eastAsia="Calibri"/>
          <w:lang w:val="en-GB" w:eastAsia="en-US"/>
        </w:rPr>
        <w:t>norm</w:t>
      </w:r>
      <w:r w:rsidRPr="009571DE">
        <w:rPr>
          <w:rFonts w:eastAsia="Calibri"/>
          <w:lang w:val="en-GB" w:eastAsia="en-US"/>
        </w:rPr>
        <w:t xml:space="preserve"> recognizes that the contexts in which archival documents arise and are used over time are dynamic and complex. The </w:t>
      </w:r>
      <w:r>
        <w:rPr>
          <w:rFonts w:eastAsia="Calibri"/>
          <w:lang w:val="en-GB" w:eastAsia="en-US"/>
        </w:rPr>
        <w:t>standard</w:t>
      </w:r>
      <w:r w:rsidRPr="009571DE">
        <w:rPr>
          <w:rFonts w:eastAsia="Calibri"/>
          <w:lang w:val="en-GB" w:eastAsia="en-US"/>
        </w:rPr>
        <w:t xml:space="preserve"> proposes a contextual description method in order to offer different perspectives and different access possibilities. The description of an archive item according to </w:t>
      </w:r>
      <w:proofErr w:type="spellStart"/>
      <w:r w:rsidRPr="009571DE">
        <w:rPr>
          <w:rFonts w:eastAsia="Calibri"/>
          <w:lang w:val="en-GB" w:eastAsia="en-US"/>
        </w:rPr>
        <w:t>RiC</w:t>
      </w:r>
      <w:proofErr w:type="spellEnd"/>
      <w:r w:rsidRPr="009571DE">
        <w:rPr>
          <w:rFonts w:eastAsia="Calibri"/>
          <w:lang w:val="en-GB" w:eastAsia="en-US"/>
        </w:rPr>
        <w:t xml:space="preserve"> makes the network of related actors, documents, functions and processes and their contextual history transparent.</w:t>
      </w:r>
    </w:p>
    <w:p w14:paraId="3EF81A94" w14:textId="77777777" w:rsidR="00686023" w:rsidRDefault="00686023" w:rsidP="00EC3936">
      <w:pPr>
        <w:spacing w:after="160"/>
        <w:rPr>
          <w:rFonts w:eastAsia="Calibri"/>
          <w:u w:val="single"/>
          <w:lang w:val="en-GB" w:eastAsia="en-US"/>
        </w:rPr>
      </w:pPr>
    </w:p>
    <w:p w14:paraId="1A8A479F" w14:textId="13550045" w:rsidR="00686023" w:rsidRPr="00E66F98" w:rsidRDefault="00686023" w:rsidP="00EC3936">
      <w:pPr>
        <w:spacing w:after="160"/>
        <w:rPr>
          <w:rFonts w:eastAsia="Calibri"/>
          <w:u w:val="single"/>
          <w:lang w:val="en-GB" w:eastAsia="en-US"/>
        </w:rPr>
      </w:pPr>
      <w:r>
        <w:rPr>
          <w:rFonts w:eastAsia="Calibri"/>
          <w:u w:val="single"/>
          <w:lang w:val="en-GB" w:eastAsia="en-US"/>
        </w:rPr>
        <w:t xml:space="preserve">Ethics of </w:t>
      </w:r>
      <w:r w:rsidRPr="00E66F98">
        <w:rPr>
          <w:rFonts w:eastAsia="Calibri"/>
          <w:u w:val="single"/>
          <w:lang w:val="en-GB" w:eastAsia="en-US"/>
        </w:rPr>
        <w:t>Care</w:t>
      </w:r>
    </w:p>
    <w:p w14:paraId="2EFE0714" w14:textId="0B6634A0" w:rsidR="00370522" w:rsidRPr="00540896" w:rsidRDefault="00686023" w:rsidP="00A142F3">
      <w:pPr>
        <w:spacing w:after="160"/>
        <w:rPr>
          <w:lang w:val="en-US"/>
        </w:rPr>
      </w:pPr>
      <w:r>
        <w:rPr>
          <w:lang w:val="en-US"/>
        </w:rPr>
        <w:t>In these contexts family archivists work. They are placed in a web of relationships with each ‘archiver’ within or outside the family. Archivers are</w:t>
      </w:r>
      <w:r w:rsidRPr="00B903A9">
        <w:rPr>
          <w:lang w:val="en-GB" w:eastAsia="ar-SA"/>
          <w14:ligatures w14:val="none"/>
        </w:rPr>
        <w:t xml:space="preserve"> record subjects, </w:t>
      </w:r>
      <w:r w:rsidRPr="00B903A9">
        <w:rPr>
          <w:rFonts w:eastAsia="Calibri" w:cs="Arial"/>
          <w:u w:color="000000"/>
          <w:lang w:val="en-US" w:eastAsia="en-US"/>
          <w14:ligatures w14:val="none"/>
        </w:rPr>
        <w:t>authors, clerks, registrars, antiquarians, genealogists and other users. Each ‘archiver’ participates in the recursive production and mediation of the archive.</w:t>
      </w:r>
      <w:r>
        <w:rPr>
          <w:rStyle w:val="Eindnootmarkering"/>
          <w:lang w:val="en-US"/>
        </w:rPr>
        <w:endnoteReference w:id="58"/>
      </w:r>
      <w:r>
        <w:rPr>
          <w:rFonts w:eastAsia="Calibri" w:cs="Arial"/>
          <w:u w:color="000000"/>
          <w:lang w:val="en-US" w:eastAsia="en-US"/>
          <w14:ligatures w14:val="none"/>
        </w:rPr>
        <w:t xml:space="preserve"> </w:t>
      </w:r>
      <w:r>
        <w:rPr>
          <w:lang w:val="en-US"/>
        </w:rPr>
        <w:t xml:space="preserve">With each of them the archivist has (or should have) an affective responsibility. This view corresponds with </w:t>
      </w:r>
      <w:r w:rsidRPr="00370522">
        <w:rPr>
          <w:lang w:val="en-US"/>
        </w:rPr>
        <w:t xml:space="preserve">a feminist ethics </w:t>
      </w:r>
      <w:r>
        <w:rPr>
          <w:lang w:val="en-US"/>
        </w:rPr>
        <w:t xml:space="preserve">of care </w:t>
      </w:r>
      <w:r w:rsidRPr="00370522">
        <w:rPr>
          <w:lang w:val="en-US"/>
        </w:rPr>
        <w:t xml:space="preserve">approach, </w:t>
      </w:r>
      <w:r>
        <w:rPr>
          <w:lang w:val="en-US"/>
        </w:rPr>
        <w:t>wherein ‘</w:t>
      </w:r>
      <w:r w:rsidRPr="00370522">
        <w:rPr>
          <w:lang w:val="en-US"/>
        </w:rPr>
        <w:t>archivists are seen as caregivers, bound to records creators, subjects, users, and communities through a web of mutual affective responsibility</w:t>
      </w:r>
      <w:r>
        <w:rPr>
          <w:lang w:val="en-US"/>
        </w:rPr>
        <w:t xml:space="preserve">’, according to Michelle Caswell and Marika </w:t>
      </w:r>
      <w:proofErr w:type="spellStart"/>
      <w:r>
        <w:rPr>
          <w:lang w:val="en-US"/>
        </w:rPr>
        <w:t>Cifor</w:t>
      </w:r>
      <w:proofErr w:type="spellEnd"/>
      <w:r>
        <w:rPr>
          <w:lang w:val="en-US"/>
        </w:rPr>
        <w:t xml:space="preserve"> in a groundbreaking essay published in 2016.</w:t>
      </w:r>
      <w:r>
        <w:rPr>
          <w:rStyle w:val="Eindnootmarkering"/>
          <w:lang w:val="en-US"/>
        </w:rPr>
        <w:endnoteReference w:id="59"/>
      </w:r>
      <w:r>
        <w:rPr>
          <w:lang w:val="en-US"/>
        </w:rPr>
        <w:t xml:space="preserve"> ‘</w:t>
      </w:r>
      <w:r w:rsidRPr="00540896">
        <w:rPr>
          <w:lang w:val="en-US"/>
        </w:rPr>
        <w:t>The central focus of the ethics of care,</w:t>
      </w:r>
      <w:r>
        <w:rPr>
          <w:lang w:val="en-US"/>
        </w:rPr>
        <w:t>’</w:t>
      </w:r>
      <w:r w:rsidRPr="00540896">
        <w:rPr>
          <w:lang w:val="en-US"/>
        </w:rPr>
        <w:t xml:space="preserve"> writes feminist philosopher Virginia Held, </w:t>
      </w:r>
      <w:r>
        <w:rPr>
          <w:lang w:val="en-US"/>
        </w:rPr>
        <w:t>‘</w:t>
      </w:r>
      <w:r w:rsidRPr="00540896">
        <w:rPr>
          <w:lang w:val="en-US"/>
        </w:rPr>
        <w:t>is on the compelling moral salience of attending to and meeting the needs of the particular others for whom we take responsibility.</w:t>
      </w:r>
      <w:r>
        <w:rPr>
          <w:lang w:val="en-US"/>
        </w:rPr>
        <w:t>’</w:t>
      </w:r>
      <w:r>
        <w:rPr>
          <w:rStyle w:val="Eindnootmarkering"/>
          <w:lang w:val="en-US"/>
        </w:rPr>
        <w:endnoteReference w:id="60"/>
      </w:r>
      <w:r>
        <w:rPr>
          <w:lang w:val="en-US"/>
        </w:rPr>
        <w:t xml:space="preserve"> This applies of course to the family and family members as cocreators of the family archive. But the archivist and the archival scholar are also caregivers, towards the family, towards researchers and colleagues in research and archival institutions. In a recent book, archivist and librarian Trevor Owens argues that ‘we need to consider how institutions of memory enable relations of care between the people they employ, the peoples documented in their collections, the communities they serve, and their broader memory function in society.’</w:t>
      </w:r>
      <w:r>
        <w:rPr>
          <w:rStyle w:val="Eindnootmarkering"/>
          <w:lang w:val="en-US"/>
        </w:rPr>
        <w:endnoteReference w:id="61"/>
      </w:r>
      <w:r>
        <w:rPr>
          <w:lang w:val="en-US"/>
        </w:rPr>
        <w:t xml:space="preserve"> </w:t>
      </w:r>
    </w:p>
    <w:p w14:paraId="2DE9C6BB" w14:textId="77777777" w:rsidR="00E66F98" w:rsidRDefault="00E66F98" w:rsidP="00A142F3">
      <w:pPr>
        <w:spacing w:after="160"/>
        <w:rPr>
          <w:rFonts w:eastAsia="Calibri"/>
          <w:lang w:val="en-GB" w:eastAsia="en-US"/>
        </w:rPr>
      </w:pPr>
    </w:p>
    <w:p w14:paraId="2B9A5229" w14:textId="77777777" w:rsidR="00282404" w:rsidRPr="00F60B02" w:rsidRDefault="0090794C" w:rsidP="00282404">
      <w:pPr>
        <w:spacing w:after="160"/>
        <w:rPr>
          <w:rFonts w:eastAsia="Calibri"/>
          <w:u w:val="single"/>
          <w:lang w:val="en-GB" w:eastAsia="en-US"/>
        </w:rPr>
      </w:pPr>
      <w:r w:rsidRPr="00F60B02">
        <w:rPr>
          <w:rFonts w:eastAsia="Calibri"/>
          <w:u w:val="single"/>
          <w:lang w:val="en-GB" w:eastAsia="en-US"/>
        </w:rPr>
        <w:lastRenderedPageBreak/>
        <w:t>Conclusion</w:t>
      </w:r>
    </w:p>
    <w:p w14:paraId="1183D031" w14:textId="157CC3AF" w:rsidR="00F60B02" w:rsidRDefault="00282404" w:rsidP="00282404">
      <w:pPr>
        <w:spacing w:after="160"/>
        <w:rPr>
          <w:rFonts w:eastAsia="Calibri"/>
          <w:lang w:val="en-GB" w:eastAsia="en-US"/>
        </w:rPr>
      </w:pPr>
      <w:r>
        <w:rPr>
          <w:rFonts w:eastAsia="Calibri"/>
          <w:lang w:val="en-GB" w:eastAsia="en-US"/>
        </w:rPr>
        <w:t>The perception of the genealogical gaze which I proposed fifteen years ago, is still a vibrant concept used by researchers in archivistics and other disciplines, dealing with family archives.</w:t>
      </w:r>
      <w:r w:rsidR="0005455F">
        <w:rPr>
          <w:rFonts w:eastAsia="Calibri"/>
          <w:lang w:val="en-GB" w:eastAsia="en-US"/>
        </w:rPr>
        <w:t xml:space="preserve"> The genealogical gaze transfigures administrative records and emanates from people </w:t>
      </w:r>
      <w:r w:rsidR="00C10F42">
        <w:rPr>
          <w:rFonts w:eastAsia="Calibri"/>
          <w:lang w:val="en-GB" w:eastAsia="en-US"/>
        </w:rPr>
        <w:t xml:space="preserve">situated </w:t>
      </w:r>
      <w:r w:rsidR="0005455F">
        <w:rPr>
          <w:rFonts w:eastAsia="Calibri"/>
          <w:lang w:val="en-GB" w:eastAsia="en-US"/>
        </w:rPr>
        <w:t xml:space="preserve">in a particular context. They are agents in the construction of family archives, </w:t>
      </w:r>
      <w:r w:rsidR="00BA40CC">
        <w:rPr>
          <w:rFonts w:eastAsia="Calibri"/>
          <w:lang w:val="en-GB" w:eastAsia="en-US"/>
        </w:rPr>
        <w:t>and the</w:t>
      </w:r>
      <w:r w:rsidR="00F60B02">
        <w:rPr>
          <w:rFonts w:eastAsia="Calibri"/>
          <w:lang w:val="en-GB" w:eastAsia="en-US"/>
        </w:rPr>
        <w:t>ir</w:t>
      </w:r>
      <w:r w:rsidR="0005455F">
        <w:rPr>
          <w:rFonts w:eastAsia="Calibri"/>
          <w:lang w:val="en-GB" w:eastAsia="en-US"/>
        </w:rPr>
        <w:t xml:space="preserve"> transfer</w:t>
      </w:r>
      <w:r w:rsidR="00BA40CC">
        <w:rPr>
          <w:rFonts w:eastAsia="Calibri"/>
          <w:lang w:val="en-GB" w:eastAsia="en-US"/>
        </w:rPr>
        <w:t xml:space="preserve"> </w:t>
      </w:r>
      <w:r w:rsidR="00697250">
        <w:rPr>
          <w:rFonts w:eastAsia="Calibri"/>
          <w:lang w:val="en-GB" w:eastAsia="en-US"/>
        </w:rPr>
        <w:t>through</w:t>
      </w:r>
      <w:r w:rsidR="00BA40CC">
        <w:rPr>
          <w:rFonts w:eastAsia="Calibri"/>
          <w:lang w:val="en-GB" w:eastAsia="en-US"/>
        </w:rPr>
        <w:t xml:space="preserve"> time and space. </w:t>
      </w:r>
    </w:p>
    <w:p w14:paraId="10AC604C" w14:textId="08D6B189" w:rsidR="00583484" w:rsidRDefault="00BA40CC" w:rsidP="00282404">
      <w:pPr>
        <w:spacing w:after="160"/>
        <w:rPr>
          <w:rFonts w:eastAsia="Calibri"/>
          <w:lang w:val="en-GB" w:eastAsia="en-US"/>
        </w:rPr>
      </w:pPr>
      <w:r>
        <w:rPr>
          <w:rFonts w:eastAsia="Calibri"/>
          <w:lang w:val="en-GB" w:eastAsia="en-US"/>
        </w:rPr>
        <w:t xml:space="preserve">The genealogical gaze is not only a historical phenomenon. Any individual scrolling through the messages and photos on their phone is constructing an archive by </w:t>
      </w:r>
      <w:r w:rsidR="00804747">
        <w:rPr>
          <w:rFonts w:eastAsia="Calibri"/>
          <w:lang w:val="en-GB" w:eastAsia="en-US"/>
        </w:rPr>
        <w:t xml:space="preserve">explicitly or </w:t>
      </w:r>
      <w:r>
        <w:rPr>
          <w:rFonts w:eastAsia="Calibri"/>
          <w:lang w:val="en-GB" w:eastAsia="en-US"/>
        </w:rPr>
        <w:t>implicitly creating, saving, expanding, sending, destroying</w:t>
      </w:r>
      <w:r w:rsidR="00C10F42">
        <w:rPr>
          <w:rFonts w:eastAsia="Calibri"/>
          <w:lang w:val="en-GB" w:eastAsia="en-US"/>
        </w:rPr>
        <w:t xml:space="preserve"> documents</w:t>
      </w:r>
      <w:r>
        <w:rPr>
          <w:rFonts w:eastAsia="Calibri"/>
          <w:lang w:val="en-GB" w:eastAsia="en-US"/>
        </w:rPr>
        <w:t>.</w:t>
      </w:r>
      <w:r w:rsidR="00583484">
        <w:rPr>
          <w:rFonts w:eastAsia="Calibri"/>
          <w:lang w:val="en-GB" w:eastAsia="en-US"/>
        </w:rPr>
        <w:t xml:space="preserve"> </w:t>
      </w:r>
      <w:r>
        <w:rPr>
          <w:rFonts w:eastAsia="Calibri"/>
          <w:lang w:val="en-GB" w:eastAsia="en-US"/>
        </w:rPr>
        <w:t xml:space="preserve">These actions are often </w:t>
      </w:r>
      <w:r w:rsidR="00C10F42">
        <w:rPr>
          <w:rFonts w:eastAsia="Calibri"/>
          <w:lang w:val="en-GB" w:eastAsia="en-US"/>
        </w:rPr>
        <w:t>triggered</w:t>
      </w:r>
      <w:r>
        <w:rPr>
          <w:rFonts w:eastAsia="Calibri"/>
          <w:lang w:val="en-GB" w:eastAsia="en-US"/>
        </w:rPr>
        <w:t xml:space="preserve"> by a genealogical gaze</w:t>
      </w:r>
      <w:r w:rsidR="00C10F42">
        <w:rPr>
          <w:rFonts w:eastAsia="Calibri"/>
          <w:lang w:val="en-GB" w:eastAsia="en-US"/>
        </w:rPr>
        <w:t xml:space="preserve">. Over time, that gaze may lead to different outcomes depending on </w:t>
      </w:r>
      <w:r w:rsidR="00804747">
        <w:rPr>
          <w:rFonts w:eastAsia="Calibri"/>
          <w:lang w:val="en-GB" w:eastAsia="en-US"/>
        </w:rPr>
        <w:t>the</w:t>
      </w:r>
      <w:r w:rsidR="00C10F42">
        <w:rPr>
          <w:rFonts w:eastAsia="Calibri"/>
          <w:lang w:val="en-GB" w:eastAsia="en-US"/>
        </w:rPr>
        <w:t xml:space="preserve"> context. </w:t>
      </w:r>
    </w:p>
    <w:p w14:paraId="25A813AF" w14:textId="50F5F838" w:rsidR="0090794C" w:rsidRDefault="00583484" w:rsidP="00282404">
      <w:pPr>
        <w:spacing w:after="160"/>
        <w:rPr>
          <w:rFonts w:eastAsia="Calibri"/>
          <w:lang w:val="en-GB" w:eastAsia="en-US"/>
        </w:rPr>
      </w:pPr>
      <w:r w:rsidRPr="009571DE">
        <w:rPr>
          <w:rFonts w:eastAsia="Calibri"/>
          <w:lang w:val="en-GB" w:eastAsia="en-US"/>
        </w:rPr>
        <w:t xml:space="preserve">The archiving by a family </w:t>
      </w:r>
      <w:r>
        <w:rPr>
          <w:rFonts w:eastAsia="Calibri"/>
          <w:lang w:val="en-GB" w:eastAsia="en-US"/>
        </w:rPr>
        <w:t>or</w:t>
      </w:r>
      <w:r w:rsidRPr="009571DE">
        <w:rPr>
          <w:rFonts w:eastAsia="Calibri"/>
          <w:lang w:val="en-GB" w:eastAsia="en-US"/>
        </w:rPr>
        <w:t xml:space="preserve"> any other community </w:t>
      </w:r>
      <w:r w:rsidR="00A6741F">
        <w:rPr>
          <w:rFonts w:eastAsia="Calibri"/>
          <w:lang w:val="en-GB" w:eastAsia="en-US"/>
        </w:rPr>
        <w:t xml:space="preserve">(imagined or real) </w:t>
      </w:r>
      <w:r w:rsidRPr="009571DE">
        <w:rPr>
          <w:rFonts w:eastAsia="Calibri"/>
          <w:lang w:val="en-GB" w:eastAsia="en-US"/>
        </w:rPr>
        <w:t xml:space="preserve">extends beyond its boundaries, involving </w:t>
      </w:r>
      <w:r>
        <w:rPr>
          <w:rFonts w:eastAsia="Calibri"/>
          <w:lang w:val="en-GB" w:eastAsia="en-US"/>
        </w:rPr>
        <w:t>various ‘archivers’ who</w:t>
      </w:r>
      <w:r w:rsidRPr="009571DE">
        <w:rPr>
          <w:rFonts w:eastAsia="Calibri"/>
          <w:lang w:val="en-GB" w:eastAsia="en-US"/>
        </w:rPr>
        <w:t xml:space="preserve"> are </w:t>
      </w:r>
      <w:r>
        <w:rPr>
          <w:rFonts w:eastAsia="Calibri"/>
          <w:lang w:val="en-GB" w:eastAsia="en-US"/>
        </w:rPr>
        <w:t>engaged</w:t>
      </w:r>
      <w:r w:rsidRPr="009571DE">
        <w:rPr>
          <w:rFonts w:eastAsia="Calibri"/>
          <w:lang w:val="en-GB" w:eastAsia="en-US"/>
        </w:rPr>
        <w:t xml:space="preserve"> in </w:t>
      </w:r>
      <w:r>
        <w:rPr>
          <w:rFonts w:eastAsia="Calibri"/>
          <w:lang w:val="en-GB" w:eastAsia="en-US"/>
        </w:rPr>
        <w:t>an</w:t>
      </w:r>
      <w:r w:rsidRPr="009571DE">
        <w:rPr>
          <w:rFonts w:eastAsia="Calibri"/>
          <w:lang w:val="en-GB" w:eastAsia="en-US"/>
        </w:rPr>
        <w:t xml:space="preserve"> intertextual genre system.</w:t>
      </w:r>
      <w:r w:rsidR="00F60B02">
        <w:rPr>
          <w:rFonts w:eastAsia="Calibri"/>
          <w:lang w:val="en-GB" w:eastAsia="en-US"/>
        </w:rPr>
        <w:t xml:space="preserve"> This entails for archivists and users adopting a wider gaze</w:t>
      </w:r>
      <w:r w:rsidR="00934C38">
        <w:rPr>
          <w:rFonts w:eastAsia="Calibri"/>
          <w:lang w:val="en-GB" w:eastAsia="en-US"/>
        </w:rPr>
        <w:t>,</w:t>
      </w:r>
      <w:r w:rsidR="00F60B02">
        <w:rPr>
          <w:rFonts w:eastAsia="Calibri"/>
          <w:lang w:val="en-GB" w:eastAsia="en-US"/>
        </w:rPr>
        <w:t xml:space="preserve"> looking at the contexts of the record and adopting an expanded view of provenance. An expanded view too of the role and responsibilities of archivists as caregivers.   </w:t>
      </w:r>
    </w:p>
    <w:p w14:paraId="2255312C" w14:textId="77777777" w:rsidR="00583484" w:rsidRDefault="00583484" w:rsidP="00282404">
      <w:pPr>
        <w:spacing w:after="160"/>
        <w:rPr>
          <w:rFonts w:eastAsia="Calibri"/>
          <w:lang w:val="en-GB" w:eastAsia="en-US"/>
        </w:rPr>
      </w:pPr>
    </w:p>
    <w:p w14:paraId="6CFACE9F" w14:textId="77777777" w:rsidR="00EC3936" w:rsidRDefault="00EC3936" w:rsidP="00A142F3">
      <w:pPr>
        <w:spacing w:after="160"/>
        <w:rPr>
          <w:rFonts w:eastAsia="Calibri"/>
          <w:lang w:val="en-GB" w:eastAsia="en-US"/>
        </w:rPr>
      </w:pPr>
    </w:p>
    <w:p w14:paraId="15829E7E" w14:textId="77777777" w:rsidR="004C60C2" w:rsidRPr="009571DE" w:rsidRDefault="004C60C2" w:rsidP="00A142F3">
      <w:pPr>
        <w:spacing w:after="160"/>
        <w:rPr>
          <w:rFonts w:eastAsia="Calibri"/>
          <w:lang w:val="en-GB"/>
        </w:rPr>
      </w:pPr>
    </w:p>
    <w:p w14:paraId="457C7FF3" w14:textId="139C42B1" w:rsidR="00670C2D" w:rsidRPr="004C60C2" w:rsidRDefault="00670C2D" w:rsidP="00670C2D">
      <w:pPr>
        <w:ind w:firstLine="502"/>
        <w:rPr>
          <w:lang w:val="en-US"/>
        </w:rPr>
      </w:pPr>
    </w:p>
    <w:p w14:paraId="1D6727A8" w14:textId="77777777" w:rsidR="008D678B" w:rsidRPr="009571DE" w:rsidRDefault="008D678B" w:rsidP="00D64D4E">
      <w:pPr>
        <w:ind w:left="502"/>
        <w:rPr>
          <w:lang w:val="en-US"/>
        </w:rPr>
      </w:pPr>
    </w:p>
    <w:p w14:paraId="2D8426E3" w14:textId="77777777" w:rsidR="007B50B5" w:rsidRPr="009571DE" w:rsidRDefault="007B50B5" w:rsidP="00D64D4E">
      <w:pPr>
        <w:rPr>
          <w:lang w:val="en-US"/>
        </w:rPr>
      </w:pPr>
    </w:p>
    <w:sectPr w:rsidR="007B50B5" w:rsidRPr="009571DE">
      <w:headerReference w:type="default" r:id="rId9"/>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56854" w14:textId="77777777" w:rsidR="0078603F" w:rsidRDefault="0078603F" w:rsidP="008D678B">
      <w:r>
        <w:separator/>
      </w:r>
    </w:p>
  </w:endnote>
  <w:endnote w:type="continuationSeparator" w:id="0">
    <w:p w14:paraId="0A3357A7" w14:textId="77777777" w:rsidR="0078603F" w:rsidRDefault="0078603F" w:rsidP="008D678B">
      <w:r>
        <w:continuationSeparator/>
      </w:r>
    </w:p>
  </w:endnote>
  <w:endnote w:id="1">
    <w:p w14:paraId="3A807374" w14:textId="10BCD528" w:rsidR="00686023" w:rsidRPr="00916C7E" w:rsidRDefault="00686023" w:rsidP="00916C7E">
      <w:pPr>
        <w:pStyle w:val="Eindnoottekst"/>
        <w:rPr>
          <w:lang w:val="en-US"/>
        </w:rPr>
      </w:pPr>
      <w:r>
        <w:rPr>
          <w:rStyle w:val="Eindnootmarkering"/>
        </w:rPr>
        <w:endnoteRef/>
      </w:r>
      <w:r w:rsidRPr="00916C7E">
        <w:rPr>
          <w:lang w:val="en-US"/>
        </w:rPr>
        <w:t xml:space="preserve"> </w:t>
      </w:r>
      <w:r>
        <w:rPr>
          <w:lang w:val="en-US"/>
        </w:rPr>
        <w:t xml:space="preserve">Paper presented at the conference ‘Historical archives: paths for research renewing, and heritage protection’, organized by the VINCULUM project, </w:t>
      </w:r>
      <w:r w:rsidRPr="00916C7E">
        <w:rPr>
          <w:lang w:val="en-US"/>
        </w:rPr>
        <w:t>Casa Fronteira e Alorna, Lisbon</w:t>
      </w:r>
      <w:r>
        <w:rPr>
          <w:lang w:val="en-US"/>
        </w:rPr>
        <w:t>,</w:t>
      </w:r>
      <w:r w:rsidRPr="00916C7E">
        <w:rPr>
          <w:lang w:val="en-US"/>
        </w:rPr>
        <w:t xml:space="preserve"> July 19th and 20th, 2024</w:t>
      </w:r>
      <w:r>
        <w:rPr>
          <w:lang w:val="en-US"/>
        </w:rPr>
        <w:t>.</w:t>
      </w:r>
    </w:p>
    <w:p w14:paraId="1BC9D65A" w14:textId="6CD9F677" w:rsidR="00686023" w:rsidRPr="00916C7E" w:rsidRDefault="00686023">
      <w:pPr>
        <w:pStyle w:val="Eindnoottekst"/>
        <w:rPr>
          <w:lang w:val="en-US"/>
        </w:rPr>
      </w:pPr>
    </w:p>
  </w:endnote>
  <w:endnote w:id="2">
    <w:p w14:paraId="7C4D719D" w14:textId="1EBB9E01" w:rsidR="00686023" w:rsidRPr="00466B1A" w:rsidRDefault="00686023">
      <w:pPr>
        <w:pStyle w:val="Eindnoottekst"/>
        <w:rPr>
          <w:lang w:val="en-US"/>
        </w:rPr>
      </w:pPr>
      <w:r>
        <w:rPr>
          <w:rStyle w:val="Eindnootmarkering"/>
        </w:rPr>
        <w:endnoteRef/>
      </w:r>
      <w:r w:rsidRPr="00466B1A">
        <w:rPr>
          <w:lang w:val="en-US"/>
        </w:rPr>
        <w:t xml:space="preserve"> KETELAAR, 2009. </w:t>
      </w:r>
    </w:p>
    <w:p w14:paraId="6EE5FA90" w14:textId="77777777" w:rsidR="00686023" w:rsidRPr="00466B1A" w:rsidRDefault="00686023">
      <w:pPr>
        <w:pStyle w:val="Eindnoottekst"/>
        <w:rPr>
          <w:lang w:val="en-US"/>
        </w:rPr>
      </w:pPr>
    </w:p>
  </w:endnote>
  <w:endnote w:id="3">
    <w:p w14:paraId="62CA20ED" w14:textId="462A935D" w:rsidR="00686023" w:rsidRDefault="00686023">
      <w:pPr>
        <w:pStyle w:val="Eindnoottekst"/>
        <w:rPr>
          <w:lang w:val="en-US"/>
        </w:rPr>
      </w:pPr>
      <w:r>
        <w:rPr>
          <w:rStyle w:val="Eindnootmarkering"/>
        </w:rPr>
        <w:endnoteRef/>
      </w:r>
      <w:r w:rsidRPr="008F5EA7">
        <w:rPr>
          <w:lang w:val="en-US"/>
        </w:rPr>
        <w:t xml:space="preserve"> </w:t>
      </w:r>
      <w:r>
        <w:rPr>
          <w:lang w:val="en-US"/>
        </w:rPr>
        <w:t>CRANE, 2000: 28-20.</w:t>
      </w:r>
    </w:p>
    <w:p w14:paraId="67041254" w14:textId="77777777" w:rsidR="00686023" w:rsidRPr="008F5EA7" w:rsidRDefault="00686023">
      <w:pPr>
        <w:pStyle w:val="Eindnoottekst"/>
        <w:rPr>
          <w:lang w:val="en-US"/>
        </w:rPr>
      </w:pPr>
    </w:p>
  </w:endnote>
  <w:endnote w:id="4">
    <w:p w14:paraId="66764339" w14:textId="4FC43376" w:rsidR="00686023" w:rsidRPr="00F067FE" w:rsidRDefault="00686023" w:rsidP="00B62CCD">
      <w:pPr>
        <w:pStyle w:val="Eindnoottekst"/>
        <w:rPr>
          <w:lang w:val="en-US"/>
        </w:rPr>
      </w:pPr>
      <w:r w:rsidRPr="00F067FE">
        <w:rPr>
          <w:rStyle w:val="Eindnootmarkering"/>
        </w:rPr>
        <w:endnoteRef/>
      </w:r>
      <w:r w:rsidRPr="00F067FE">
        <w:rPr>
          <w:lang w:val="en-US"/>
        </w:rPr>
        <w:t xml:space="preserve"> Nanosecond archiving captures </w:t>
      </w:r>
      <w:r>
        <w:rPr>
          <w:lang w:val="en-US"/>
        </w:rPr>
        <w:t>‘</w:t>
      </w:r>
      <w:r w:rsidRPr="00F067FE">
        <w:rPr>
          <w:lang w:val="en-US"/>
        </w:rPr>
        <w:t>direct relationships between actions, recorded inscriptions and business processes</w:t>
      </w:r>
      <w:r>
        <w:rPr>
          <w:lang w:val="en-US"/>
        </w:rPr>
        <w:t>’</w:t>
      </w:r>
      <w:r w:rsidRPr="00F067FE">
        <w:rPr>
          <w:lang w:val="en-US"/>
        </w:rPr>
        <w:t xml:space="preserve">:  </w:t>
      </w:r>
      <w:r>
        <w:rPr>
          <w:lang w:val="en-US"/>
        </w:rPr>
        <w:t>(UPWARD</w:t>
      </w:r>
      <w:r w:rsidRPr="00F067FE">
        <w:rPr>
          <w:lang w:val="en-US"/>
        </w:rPr>
        <w:t xml:space="preserve"> et a</w:t>
      </w:r>
      <w:r>
        <w:rPr>
          <w:lang w:val="en-US"/>
        </w:rPr>
        <w:t xml:space="preserve">l, 2019), 94. </w:t>
      </w:r>
    </w:p>
    <w:p w14:paraId="5599E72C" w14:textId="77777777" w:rsidR="00686023" w:rsidRPr="00F067FE" w:rsidRDefault="00686023" w:rsidP="00B62CCD">
      <w:pPr>
        <w:pStyle w:val="Eindnoottekst"/>
        <w:rPr>
          <w:lang w:val="en-US"/>
        </w:rPr>
      </w:pPr>
    </w:p>
  </w:endnote>
  <w:endnote w:id="5">
    <w:p w14:paraId="3E10E1CC" w14:textId="37995E7C" w:rsidR="00686023" w:rsidRPr="009F63BE" w:rsidRDefault="00686023">
      <w:pPr>
        <w:pStyle w:val="Eindnoottekst"/>
        <w:rPr>
          <w:lang w:val="fr-FR"/>
        </w:rPr>
      </w:pPr>
      <w:r>
        <w:rPr>
          <w:rStyle w:val="Eindnootmarkering"/>
        </w:rPr>
        <w:endnoteRef/>
      </w:r>
      <w:r w:rsidRPr="009F63BE">
        <w:rPr>
          <w:lang w:val="fr-FR"/>
        </w:rPr>
        <w:t xml:space="preserve"> LOPES, 2019: 218.</w:t>
      </w:r>
    </w:p>
    <w:p w14:paraId="1AEFF623" w14:textId="77777777" w:rsidR="00686023" w:rsidRPr="009F63BE" w:rsidRDefault="00686023">
      <w:pPr>
        <w:pStyle w:val="Eindnoottekst"/>
        <w:rPr>
          <w:lang w:val="fr-FR"/>
        </w:rPr>
      </w:pPr>
    </w:p>
  </w:endnote>
  <w:endnote w:id="6">
    <w:p w14:paraId="525E3B45" w14:textId="07451337" w:rsidR="00686023" w:rsidRDefault="00686023">
      <w:pPr>
        <w:pStyle w:val="Eindnoottekst"/>
        <w:rPr>
          <w:rFonts w:eastAsiaTheme="minorHAnsi" w:cs="ITCGaramondStd-Bk"/>
          <w:lang w:val="fr-FR" w:eastAsia="en-US"/>
        </w:rPr>
      </w:pPr>
      <w:r>
        <w:rPr>
          <w:rStyle w:val="Eindnootmarkering"/>
        </w:rPr>
        <w:endnoteRef/>
      </w:r>
      <w:r w:rsidRPr="008F5EA7">
        <w:rPr>
          <w:lang w:val="fr-FR"/>
        </w:rPr>
        <w:t xml:space="preserve"> ROSA, 2009</w:t>
      </w:r>
      <w:r>
        <w:rPr>
          <w:lang w:val="fr-FR"/>
        </w:rPr>
        <w:t>:</w:t>
      </w:r>
      <w:r w:rsidRPr="008F5EA7">
        <w:rPr>
          <w:lang w:val="fr-FR"/>
        </w:rPr>
        <w:t xml:space="preserve"> 22: </w:t>
      </w:r>
      <w:r>
        <w:rPr>
          <w:rFonts w:eastAsiaTheme="minorHAnsi" w:cs="ITCGaramondStd-Bk"/>
          <w:lang w:val="fr-FR" w:eastAsia="en-US"/>
        </w:rPr>
        <w:t>‘</w:t>
      </w:r>
      <w:r w:rsidRPr="009A4F4B">
        <w:rPr>
          <w:rFonts w:eastAsiaTheme="minorHAnsi" w:cs="ITCGaramondStd-Bk"/>
          <w:lang w:val="fr-FR" w:eastAsia="en-US"/>
        </w:rPr>
        <w:t xml:space="preserve">parte de um </w:t>
      </w:r>
      <w:r w:rsidRPr="009A4F4B">
        <w:rPr>
          <w:rFonts w:eastAsiaTheme="minorHAnsi" w:cs="ITCGaramondStd-Bk"/>
          <w:lang w:val="fr-FR" w:eastAsia="en-US"/>
        </w:rPr>
        <w:t>inquérito mais vasto sobre o nascimento da concepção patrimonial dos arquivos, e que teve como mais recente continuação a investigação da ocorrência daquela concepção precisamente nos arquivos de família.</w:t>
      </w:r>
      <w:r>
        <w:rPr>
          <w:rFonts w:eastAsiaTheme="minorHAnsi" w:cs="ITCGaramondStd-Bk"/>
          <w:lang w:val="fr-FR" w:eastAsia="en-US"/>
        </w:rPr>
        <w:t>’</w:t>
      </w:r>
    </w:p>
    <w:p w14:paraId="5AA54C68" w14:textId="77777777" w:rsidR="00686023" w:rsidRPr="009A4F4B" w:rsidRDefault="00686023">
      <w:pPr>
        <w:pStyle w:val="Eindnoottekst"/>
        <w:rPr>
          <w:lang w:val="fr-FR"/>
        </w:rPr>
      </w:pPr>
    </w:p>
  </w:endnote>
  <w:endnote w:id="7">
    <w:p w14:paraId="7902B3A8" w14:textId="4C30053E" w:rsidR="00686023" w:rsidRPr="009F63BE" w:rsidRDefault="00686023" w:rsidP="00C221C8">
      <w:pPr>
        <w:pStyle w:val="Eindnoottekst"/>
        <w:rPr>
          <w:lang w:val="en-US"/>
        </w:rPr>
      </w:pPr>
      <w:r w:rsidRPr="00F067FE">
        <w:rPr>
          <w:rStyle w:val="Eindnootmarkering"/>
        </w:rPr>
        <w:endnoteRef/>
      </w:r>
      <w:r w:rsidRPr="009F63BE">
        <w:rPr>
          <w:lang w:val="en-US"/>
        </w:rPr>
        <w:t xml:space="preserve"> ROSA, 2012.</w:t>
      </w:r>
    </w:p>
    <w:p w14:paraId="17D9FDB4" w14:textId="77777777" w:rsidR="00686023" w:rsidRPr="009F63BE" w:rsidRDefault="00686023" w:rsidP="00C221C8">
      <w:pPr>
        <w:pStyle w:val="Eindnoottekst"/>
        <w:rPr>
          <w:lang w:val="en-US"/>
        </w:rPr>
      </w:pPr>
    </w:p>
  </w:endnote>
  <w:endnote w:id="8">
    <w:p w14:paraId="051F634E" w14:textId="694604F2" w:rsidR="00686023" w:rsidRPr="009F63BE" w:rsidRDefault="00686023">
      <w:pPr>
        <w:pStyle w:val="Eindnoottekst"/>
        <w:rPr>
          <w:lang w:val="en-US"/>
        </w:rPr>
      </w:pPr>
      <w:r>
        <w:rPr>
          <w:rStyle w:val="Eindnootmarkering"/>
        </w:rPr>
        <w:endnoteRef/>
      </w:r>
      <w:r w:rsidRPr="009F63BE">
        <w:rPr>
          <w:lang w:val="en-US"/>
        </w:rPr>
        <w:t xml:space="preserve"> </w:t>
      </w:r>
      <w:r>
        <w:rPr>
          <w:rFonts w:eastAsiaTheme="minorHAnsi" w:cs="ITCGaramondStd-Bk"/>
          <w:lang w:val="en-US" w:eastAsia="en-US"/>
        </w:rPr>
        <w:t xml:space="preserve">ARMAS </w:t>
      </w:r>
      <w:r w:rsidRPr="0003006E">
        <w:rPr>
          <w:rFonts w:eastAsiaTheme="minorHAnsi" w:cs="ITCGaramondStd-Bk"/>
          <w:lang w:val="en-US" w:eastAsia="en-US"/>
        </w:rPr>
        <w:t>2016</w:t>
      </w:r>
      <w:r>
        <w:rPr>
          <w:rFonts w:eastAsiaTheme="minorHAnsi" w:cs="ITCGaramondStd-Bk"/>
          <w:lang w:val="en-US" w:eastAsia="en-US"/>
        </w:rPr>
        <w:t>.</w:t>
      </w:r>
    </w:p>
  </w:endnote>
  <w:endnote w:id="9">
    <w:p w14:paraId="6074DBBC" w14:textId="77777777" w:rsidR="00686023" w:rsidRPr="009F63BE" w:rsidRDefault="00686023">
      <w:pPr>
        <w:pStyle w:val="Eindnoottekst"/>
        <w:rPr>
          <w:lang w:val="en-US"/>
        </w:rPr>
      </w:pPr>
    </w:p>
    <w:p w14:paraId="34DB78F9" w14:textId="3E38A78F" w:rsidR="00686023" w:rsidRPr="009F63BE" w:rsidRDefault="00686023">
      <w:pPr>
        <w:pStyle w:val="Eindnoottekst"/>
        <w:rPr>
          <w:lang w:val="en-US"/>
        </w:rPr>
      </w:pPr>
      <w:r w:rsidRPr="00F067FE">
        <w:rPr>
          <w:rStyle w:val="Eindnootmarkering"/>
        </w:rPr>
        <w:endnoteRef/>
      </w:r>
      <w:r w:rsidRPr="009F63BE">
        <w:rPr>
          <w:lang w:val="en-US"/>
        </w:rPr>
        <w:t xml:space="preserve"> </w:t>
      </w:r>
      <w:bookmarkStart w:id="5" w:name="_Hlk161918756"/>
      <w:r w:rsidRPr="009F63BE">
        <w:rPr>
          <w:lang w:val="en-US"/>
        </w:rPr>
        <w:t>ARMAS, 2016.</w:t>
      </w:r>
    </w:p>
    <w:bookmarkEnd w:id="5"/>
  </w:endnote>
  <w:endnote w:id="10">
    <w:p w14:paraId="1C02EDCA" w14:textId="77777777" w:rsidR="00686023" w:rsidRPr="009F63BE" w:rsidRDefault="00686023">
      <w:pPr>
        <w:pStyle w:val="Eindnoottekst"/>
        <w:rPr>
          <w:lang w:val="en-US"/>
        </w:rPr>
      </w:pPr>
    </w:p>
    <w:p w14:paraId="2F603952" w14:textId="1E80E527" w:rsidR="00686023" w:rsidRDefault="00686023">
      <w:pPr>
        <w:pStyle w:val="Eindnoottekst"/>
        <w:rPr>
          <w:rFonts w:eastAsiaTheme="minorHAnsi" w:cs="ITCGaramondStd-Bk"/>
          <w:lang w:val="en-US" w:eastAsia="en-US"/>
        </w:rPr>
      </w:pPr>
      <w:r>
        <w:rPr>
          <w:rStyle w:val="Eindnootmarkering"/>
        </w:rPr>
        <w:endnoteRef/>
      </w:r>
      <w:r w:rsidRPr="009F63BE">
        <w:rPr>
          <w:lang w:val="en-US"/>
        </w:rPr>
        <w:t xml:space="preserve"> </w:t>
      </w:r>
      <w:r>
        <w:rPr>
          <w:rFonts w:eastAsiaTheme="minorHAnsi" w:cs="ITCGaramondStd-Bk"/>
          <w:lang w:val="en-US" w:eastAsia="en-US"/>
        </w:rPr>
        <w:t>ARMAS 2021, 2019.</w:t>
      </w:r>
    </w:p>
    <w:p w14:paraId="6A0D9C08" w14:textId="77777777" w:rsidR="00686023" w:rsidRPr="009F63BE" w:rsidRDefault="00686023">
      <w:pPr>
        <w:pStyle w:val="Eindnoottekst"/>
        <w:rPr>
          <w:lang w:val="en-US"/>
        </w:rPr>
      </w:pPr>
    </w:p>
  </w:endnote>
  <w:endnote w:id="11">
    <w:p w14:paraId="35031888" w14:textId="252772C9" w:rsidR="00686023" w:rsidRDefault="00686023">
      <w:pPr>
        <w:pStyle w:val="Eindnoottekst"/>
        <w:rPr>
          <w:lang w:val="en-US"/>
        </w:rPr>
      </w:pPr>
      <w:r>
        <w:rPr>
          <w:rStyle w:val="Eindnootmarkering"/>
        </w:rPr>
        <w:endnoteRef/>
      </w:r>
      <w:r w:rsidRPr="00AB5498">
        <w:rPr>
          <w:lang w:val="en-US"/>
        </w:rPr>
        <w:t xml:space="preserve"> </w:t>
      </w:r>
      <w:r>
        <w:rPr>
          <w:lang w:val="en-US"/>
        </w:rPr>
        <w:t xml:space="preserve">FRIEDRICH, 2023; WALSHAM, 2023. See also FRIEDRICH, 2017 and (FRIEDRICH, 2019. </w:t>
      </w:r>
    </w:p>
    <w:p w14:paraId="10E7BD37" w14:textId="77777777" w:rsidR="00686023" w:rsidRPr="00AB5498" w:rsidRDefault="00686023">
      <w:pPr>
        <w:pStyle w:val="Eindnoottekst"/>
        <w:rPr>
          <w:lang w:val="en-US"/>
        </w:rPr>
      </w:pPr>
    </w:p>
  </w:endnote>
  <w:endnote w:id="12">
    <w:p w14:paraId="4B0594FB" w14:textId="34F86863" w:rsidR="00686023" w:rsidRDefault="00686023">
      <w:pPr>
        <w:pStyle w:val="Eindnoottekst"/>
        <w:rPr>
          <w:lang w:val="en-US"/>
        </w:rPr>
      </w:pPr>
      <w:r>
        <w:rPr>
          <w:rStyle w:val="Eindnootmarkering"/>
        </w:rPr>
        <w:endnoteRef/>
      </w:r>
      <w:r w:rsidRPr="00B8281A">
        <w:rPr>
          <w:lang w:val="en-US"/>
        </w:rPr>
        <w:t xml:space="preserve"> </w:t>
      </w:r>
      <w:r>
        <w:rPr>
          <w:lang w:val="en-US"/>
        </w:rPr>
        <w:t>WALSHAM, 2023: 172,497.</w:t>
      </w:r>
    </w:p>
    <w:p w14:paraId="7D4DAE1C" w14:textId="77777777" w:rsidR="00686023" w:rsidRPr="00B8281A" w:rsidRDefault="00686023">
      <w:pPr>
        <w:pStyle w:val="Eindnoottekst"/>
        <w:rPr>
          <w:lang w:val="en-US"/>
        </w:rPr>
      </w:pPr>
    </w:p>
  </w:endnote>
  <w:endnote w:id="13">
    <w:p w14:paraId="072B1C27" w14:textId="08788FB8" w:rsidR="00686023" w:rsidRDefault="00686023" w:rsidP="009043AE">
      <w:pPr>
        <w:pStyle w:val="Eindnoottekst"/>
        <w:rPr>
          <w:lang w:val="en-US"/>
        </w:rPr>
      </w:pPr>
      <w:r w:rsidRPr="009043AE">
        <w:rPr>
          <w:rStyle w:val="Eindnootmarkering"/>
        </w:rPr>
        <w:endnoteRef/>
      </w:r>
      <w:r w:rsidRPr="009043AE">
        <w:rPr>
          <w:lang w:val="en-GB"/>
        </w:rPr>
        <w:t xml:space="preserve"> </w:t>
      </w:r>
      <w:r>
        <w:rPr>
          <w:lang w:val="en-US"/>
          <w14:ligatures w14:val="none"/>
        </w:rPr>
        <w:t>WOOLF, 2003): 99-137</w:t>
      </w:r>
    </w:p>
    <w:p w14:paraId="0270899F" w14:textId="77777777" w:rsidR="00686023" w:rsidRPr="009043AE" w:rsidRDefault="00686023" w:rsidP="009043AE">
      <w:pPr>
        <w:pStyle w:val="Eindnoottekst"/>
        <w:rPr>
          <w:lang w:val="en-US"/>
        </w:rPr>
      </w:pPr>
    </w:p>
  </w:endnote>
  <w:endnote w:id="14">
    <w:p w14:paraId="7FD08A89" w14:textId="0725EADF" w:rsidR="00686023" w:rsidRDefault="00686023">
      <w:pPr>
        <w:pStyle w:val="Eindnoottekst"/>
        <w:rPr>
          <w:lang w:val="en-US"/>
        </w:rPr>
      </w:pPr>
      <w:r>
        <w:rPr>
          <w:rStyle w:val="Eindnootmarkering"/>
        </w:rPr>
        <w:endnoteRef/>
      </w:r>
      <w:r w:rsidRPr="008A266E">
        <w:rPr>
          <w:lang w:val="en-US"/>
        </w:rPr>
        <w:t xml:space="preserve"> </w:t>
      </w:r>
      <w:r>
        <w:rPr>
          <w:lang w:val="en-US"/>
        </w:rPr>
        <w:t>WALSHAM, 2023: 498.</w:t>
      </w:r>
    </w:p>
    <w:p w14:paraId="1C08FEBC" w14:textId="77777777" w:rsidR="00686023" w:rsidRPr="008A266E" w:rsidRDefault="00686023">
      <w:pPr>
        <w:pStyle w:val="Eindnoottekst"/>
        <w:rPr>
          <w:lang w:val="en-US"/>
        </w:rPr>
      </w:pPr>
    </w:p>
  </w:endnote>
  <w:endnote w:id="15">
    <w:p w14:paraId="3B1C7922" w14:textId="27511FC0" w:rsidR="00686023" w:rsidRDefault="00686023" w:rsidP="00316D53">
      <w:pPr>
        <w:pStyle w:val="Eindnoottekst"/>
        <w:rPr>
          <w:lang w:val="en-US"/>
        </w:rPr>
      </w:pPr>
      <w:r>
        <w:rPr>
          <w:rStyle w:val="Eindnootmarkering"/>
        </w:rPr>
        <w:endnoteRef/>
      </w:r>
      <w:r w:rsidRPr="005D3F1B">
        <w:rPr>
          <w:lang w:val="en-US"/>
        </w:rPr>
        <w:t xml:space="preserve"> </w:t>
      </w:r>
      <w:r>
        <w:rPr>
          <w:lang w:val="en-US"/>
        </w:rPr>
        <w:t xml:space="preserve">PECK, 2023: 193. </w:t>
      </w:r>
    </w:p>
    <w:p w14:paraId="0B10CFF8" w14:textId="5B8080C8" w:rsidR="00686023" w:rsidRPr="007B42B5" w:rsidRDefault="00686023" w:rsidP="005D3F1B">
      <w:pPr>
        <w:pStyle w:val="Eindnoottekst"/>
        <w:rPr>
          <w:lang w:val="en-US"/>
        </w:rPr>
      </w:pPr>
    </w:p>
  </w:endnote>
  <w:endnote w:id="16">
    <w:p w14:paraId="625442FD" w14:textId="4A59C899" w:rsidR="00686023" w:rsidRPr="00752B37" w:rsidRDefault="00686023" w:rsidP="00A062C0">
      <w:pPr>
        <w:pStyle w:val="Eindnoottekst"/>
        <w:rPr>
          <w:lang w:val="en-US"/>
        </w:rPr>
      </w:pPr>
      <w:r w:rsidRPr="00F067FE">
        <w:rPr>
          <w:rStyle w:val="Eindnootmarkering"/>
        </w:rPr>
        <w:endnoteRef/>
      </w:r>
      <w:r w:rsidRPr="00A062C0">
        <w:rPr>
          <w:lang w:val="en-US"/>
        </w:rPr>
        <w:t xml:space="preserve"> </w:t>
      </w:r>
      <w:bookmarkStart w:id="6" w:name="_Hlk166158068"/>
      <w:r w:rsidRPr="00A062C0">
        <w:rPr>
          <w:lang w:val="en-US"/>
        </w:rPr>
        <w:t>For an overview see ROSA</w:t>
      </w:r>
      <w:r>
        <w:rPr>
          <w:lang w:val="en-US"/>
        </w:rPr>
        <w:t>, 2011, ROSA, 2012, ARMAS, 2016, NOVOA &amp; ROSA, 2018, RODRIGUES, 2018, LOPES, 2018.</w:t>
      </w:r>
    </w:p>
    <w:bookmarkEnd w:id="6"/>
    <w:p w14:paraId="0BA63640" w14:textId="77777777" w:rsidR="00686023" w:rsidRPr="00896CE8" w:rsidRDefault="00686023">
      <w:pPr>
        <w:pStyle w:val="Eindnoottekst"/>
        <w:rPr>
          <w:lang w:val="en-US"/>
        </w:rPr>
      </w:pPr>
    </w:p>
  </w:endnote>
  <w:endnote w:id="17">
    <w:p w14:paraId="103D4EA6" w14:textId="5BD1FD9C" w:rsidR="00686023" w:rsidRDefault="00686023" w:rsidP="00A142F3">
      <w:pPr>
        <w:autoSpaceDE w:val="0"/>
        <w:autoSpaceDN w:val="0"/>
        <w:adjustRightInd w:val="0"/>
        <w:rPr>
          <w:lang w:val="fr-FR"/>
        </w:rPr>
      </w:pPr>
      <w:r w:rsidRPr="00F067FE">
        <w:rPr>
          <w:rStyle w:val="Eindnootmarkering"/>
        </w:rPr>
        <w:endnoteRef/>
      </w:r>
      <w:r w:rsidRPr="00F067FE">
        <w:rPr>
          <w:lang w:val="fr-FR"/>
        </w:rPr>
        <w:t xml:space="preserve"> </w:t>
      </w:r>
      <w:r>
        <w:rPr>
          <w:lang w:val="fr-FR"/>
        </w:rPr>
        <w:t xml:space="preserve">ROSA, 2017; ROSA &amp; NAVAO, 2018. </w:t>
      </w:r>
    </w:p>
    <w:p w14:paraId="4C1D0A3D" w14:textId="77777777" w:rsidR="00686023" w:rsidRPr="00D762B6" w:rsidRDefault="00686023" w:rsidP="00E133BA">
      <w:pPr>
        <w:pStyle w:val="Eindnoottekst"/>
        <w:rPr>
          <w:lang w:val="fr-FR"/>
        </w:rPr>
      </w:pPr>
    </w:p>
  </w:endnote>
  <w:endnote w:id="18">
    <w:p w14:paraId="5DB0A44A" w14:textId="5E029712" w:rsidR="00686023" w:rsidRPr="009F63BE" w:rsidRDefault="00686023" w:rsidP="00EA0392">
      <w:pPr>
        <w:pStyle w:val="Eindnoottekst"/>
        <w:rPr>
          <w:lang w:val="fr-FR"/>
        </w:rPr>
      </w:pPr>
      <w:r w:rsidRPr="00F067FE">
        <w:rPr>
          <w:rStyle w:val="Eindnootmarkering"/>
        </w:rPr>
        <w:endnoteRef/>
      </w:r>
      <w:r w:rsidRPr="009F63BE">
        <w:rPr>
          <w:lang w:val="fr-FR"/>
        </w:rPr>
        <w:t xml:space="preserve"> ROSA et al., 2019.   </w:t>
      </w:r>
    </w:p>
    <w:p w14:paraId="6173DD12" w14:textId="77777777" w:rsidR="00686023" w:rsidRPr="009F63BE" w:rsidRDefault="00686023" w:rsidP="00B62CCD">
      <w:pPr>
        <w:pStyle w:val="Eindnoottekst"/>
        <w:rPr>
          <w:lang w:val="fr-FR"/>
        </w:rPr>
      </w:pPr>
    </w:p>
  </w:endnote>
  <w:endnote w:id="19">
    <w:p w14:paraId="72D3C52A" w14:textId="228834D7" w:rsidR="00686023" w:rsidRPr="009F63BE" w:rsidRDefault="00686023" w:rsidP="00DE6921">
      <w:pPr>
        <w:pStyle w:val="Eindnoottekst"/>
        <w:rPr>
          <w:lang w:val="fr-FR"/>
        </w:rPr>
      </w:pPr>
      <w:r>
        <w:rPr>
          <w:rStyle w:val="Eindnootmarkering"/>
        </w:rPr>
        <w:endnoteRef/>
      </w:r>
      <w:r w:rsidRPr="009F63BE">
        <w:rPr>
          <w:lang w:val="fr-FR"/>
        </w:rPr>
        <w:t xml:space="preserve"> </w:t>
      </w:r>
      <w:bookmarkStart w:id="7" w:name="_Hlk160705933"/>
      <w:r w:rsidRPr="009F63BE">
        <w:rPr>
          <w:lang w:val="fr-FR"/>
        </w:rPr>
        <w:t xml:space="preserve">ROSA, 2019. </w:t>
      </w:r>
    </w:p>
    <w:bookmarkEnd w:id="7"/>
    <w:p w14:paraId="157CFC37" w14:textId="413FCC81" w:rsidR="00686023" w:rsidRPr="009F63BE" w:rsidRDefault="00686023">
      <w:pPr>
        <w:pStyle w:val="Eindnoottekst"/>
        <w:rPr>
          <w:lang w:val="fr-FR"/>
        </w:rPr>
      </w:pPr>
    </w:p>
  </w:endnote>
  <w:endnote w:id="20">
    <w:p w14:paraId="3B305C18" w14:textId="222F6B36" w:rsidR="00686023" w:rsidRPr="00B26DD0" w:rsidRDefault="00686023" w:rsidP="00B26DD0">
      <w:pPr>
        <w:pStyle w:val="Eindnoottekst"/>
        <w:rPr>
          <w:lang w:val="fr-FR"/>
        </w:rPr>
      </w:pPr>
      <w:r>
        <w:rPr>
          <w:rStyle w:val="Eindnootmarkering"/>
        </w:rPr>
        <w:endnoteRef/>
      </w:r>
      <w:r w:rsidRPr="00B26DD0">
        <w:rPr>
          <w:lang w:val="fr-FR"/>
        </w:rPr>
        <w:t xml:space="preserve"> </w:t>
      </w:r>
      <w:r>
        <w:rPr>
          <w:lang w:val="fr-FR"/>
        </w:rPr>
        <w:t xml:space="preserve">ROSA, </w:t>
      </w:r>
      <w:r w:rsidRPr="00B26DD0">
        <w:rPr>
          <w:lang w:val="fr-FR"/>
        </w:rPr>
        <w:t>2021</w:t>
      </w:r>
      <w:r>
        <w:rPr>
          <w:lang w:val="fr-FR"/>
        </w:rPr>
        <w:t> ; ROSA, 2022.</w:t>
      </w:r>
      <w:r w:rsidRPr="00B26DD0">
        <w:rPr>
          <w:lang w:val="fr-FR"/>
        </w:rPr>
        <w:t> </w:t>
      </w:r>
    </w:p>
    <w:p w14:paraId="422F7E68" w14:textId="30A9F41B" w:rsidR="00686023" w:rsidRPr="009F63BE" w:rsidRDefault="00686023">
      <w:pPr>
        <w:pStyle w:val="Eindnoottekst"/>
        <w:rPr>
          <w:lang w:val="fr-FR"/>
        </w:rPr>
      </w:pPr>
    </w:p>
  </w:endnote>
  <w:endnote w:id="21">
    <w:p w14:paraId="2288557F" w14:textId="1030C538" w:rsidR="00686023" w:rsidRPr="009F63BE" w:rsidRDefault="00686023" w:rsidP="00EA0392">
      <w:pPr>
        <w:autoSpaceDE w:val="0"/>
        <w:autoSpaceDN w:val="0"/>
        <w:adjustRightInd w:val="0"/>
        <w:rPr>
          <w:rFonts w:eastAsiaTheme="minorHAnsi" w:cs="AdvOT5fcf1b24"/>
          <w:lang w:val="fr-FR" w:eastAsia="en-US"/>
        </w:rPr>
      </w:pPr>
      <w:r w:rsidRPr="00F04B5A">
        <w:rPr>
          <w:rStyle w:val="Eindnootmarkering"/>
        </w:rPr>
        <w:endnoteRef/>
      </w:r>
      <w:r w:rsidRPr="009F63BE">
        <w:rPr>
          <w:lang w:val="fr-FR"/>
        </w:rPr>
        <w:t xml:space="preserve"> WOODHAM et al., 2017.</w:t>
      </w:r>
    </w:p>
    <w:p w14:paraId="206C18D1" w14:textId="6344BF74" w:rsidR="00686023" w:rsidRPr="009F63BE" w:rsidRDefault="00686023">
      <w:pPr>
        <w:pStyle w:val="Eindnoottekst"/>
        <w:rPr>
          <w:lang w:val="fr-FR"/>
        </w:rPr>
      </w:pPr>
    </w:p>
  </w:endnote>
  <w:endnote w:id="22">
    <w:p w14:paraId="1F2AA1FB" w14:textId="3A0ABD93" w:rsidR="00686023" w:rsidRPr="009F63BE" w:rsidRDefault="00686023" w:rsidP="00AC614D">
      <w:pPr>
        <w:autoSpaceDE w:val="0"/>
        <w:autoSpaceDN w:val="0"/>
        <w:adjustRightInd w:val="0"/>
        <w:rPr>
          <w:lang w:val="fr-FR"/>
        </w:rPr>
      </w:pPr>
      <w:r>
        <w:rPr>
          <w:rStyle w:val="Eindnootmarkering"/>
        </w:rPr>
        <w:endnoteRef/>
      </w:r>
      <w:r w:rsidRPr="009F63BE">
        <w:rPr>
          <w:lang w:val="fr-FR"/>
        </w:rPr>
        <w:t xml:space="preserve"> LAMAZOU, 2021. </w:t>
      </w:r>
    </w:p>
    <w:p w14:paraId="5546C6EB" w14:textId="4194D574" w:rsidR="00686023" w:rsidRPr="009F63BE" w:rsidRDefault="00686023">
      <w:pPr>
        <w:pStyle w:val="Eindnoottekst"/>
        <w:rPr>
          <w:lang w:val="fr-FR"/>
        </w:rPr>
      </w:pPr>
    </w:p>
  </w:endnote>
  <w:endnote w:id="23">
    <w:p w14:paraId="54457161" w14:textId="5496DC80" w:rsidR="00686023" w:rsidRPr="009F63BE" w:rsidRDefault="00686023" w:rsidP="00F10B18">
      <w:pPr>
        <w:pStyle w:val="Eindnoottekst"/>
        <w:rPr>
          <w:lang w:val="fr-FR"/>
        </w:rPr>
      </w:pPr>
      <w:r w:rsidRPr="00F10B18">
        <w:rPr>
          <w:rStyle w:val="Eindnootmarkering"/>
          <w:rFonts w:eastAsiaTheme="majorEastAsia"/>
        </w:rPr>
        <w:endnoteRef/>
      </w:r>
      <w:r w:rsidRPr="009F63BE">
        <w:rPr>
          <w:lang w:val="fr-FR"/>
        </w:rPr>
        <w:t xml:space="preserve"> ZONABEND, 1984: 142. </w:t>
      </w:r>
    </w:p>
    <w:p w14:paraId="48371E3F" w14:textId="77777777" w:rsidR="00686023" w:rsidRPr="009F63BE" w:rsidRDefault="00686023" w:rsidP="00F10B18">
      <w:pPr>
        <w:pStyle w:val="Eindnoottekst"/>
        <w:rPr>
          <w:lang w:val="fr-FR"/>
        </w:rPr>
      </w:pPr>
    </w:p>
  </w:endnote>
  <w:endnote w:id="24">
    <w:p w14:paraId="2774BEB2" w14:textId="46E9B2E7" w:rsidR="00686023" w:rsidRPr="000D7DC0" w:rsidRDefault="00686023" w:rsidP="000D7DC0">
      <w:pPr>
        <w:spacing w:line="360" w:lineRule="auto"/>
        <w:rPr>
          <w:lang w:val="fr-FR"/>
        </w:rPr>
      </w:pPr>
      <w:r>
        <w:rPr>
          <w:rStyle w:val="Eindnootmarkering"/>
        </w:rPr>
        <w:endnoteRef/>
      </w:r>
      <w:r w:rsidRPr="009F63BE">
        <w:rPr>
          <w:lang w:val="fr-FR"/>
        </w:rPr>
        <w:t xml:space="preserve"> HALBWACHS, 1980; HALBWACHS, 1992.</w:t>
      </w:r>
      <w:r w:rsidRPr="009F63BE">
        <w:rPr>
          <w:rFonts w:eastAsia="Calibri"/>
          <w:lang w:val="fr-FR" w:eastAsia="en-US"/>
          <w14:ligatures w14:val="none"/>
        </w:rPr>
        <w:t xml:space="preserve"> </w:t>
      </w:r>
    </w:p>
    <w:p w14:paraId="1699EE90" w14:textId="43FFAC98" w:rsidR="00686023" w:rsidRPr="000D7DC0" w:rsidRDefault="00686023">
      <w:pPr>
        <w:pStyle w:val="Eindnoottekst"/>
        <w:rPr>
          <w:lang w:val="fr-FR"/>
        </w:rPr>
      </w:pPr>
    </w:p>
  </w:endnote>
  <w:endnote w:id="25">
    <w:p w14:paraId="6E79C5EC" w14:textId="64A95C67" w:rsidR="00686023" w:rsidRPr="00686023" w:rsidRDefault="00686023">
      <w:pPr>
        <w:pStyle w:val="Eindnoottekst"/>
        <w:rPr>
          <w:rFonts w:eastAsia="Calibri"/>
          <w:lang w:val="fr-FR"/>
        </w:rPr>
      </w:pPr>
      <w:r>
        <w:rPr>
          <w:rStyle w:val="Eindnootmarkering"/>
        </w:rPr>
        <w:endnoteRef/>
      </w:r>
      <w:r w:rsidRPr="00686023">
        <w:rPr>
          <w:lang w:val="fr-FR"/>
        </w:rPr>
        <w:t xml:space="preserve"> </w:t>
      </w:r>
      <w:r w:rsidRPr="00686023">
        <w:rPr>
          <w:rFonts w:eastAsia="Calibri"/>
          <w:lang w:val="fr-FR"/>
        </w:rPr>
        <w:t>HALBWACHS, 1992; 59.</w:t>
      </w:r>
    </w:p>
    <w:p w14:paraId="7D87BA03" w14:textId="77777777" w:rsidR="00686023" w:rsidRPr="00686023" w:rsidRDefault="00686023">
      <w:pPr>
        <w:pStyle w:val="Eindnoottekst"/>
        <w:rPr>
          <w:lang w:val="fr-FR"/>
        </w:rPr>
      </w:pPr>
    </w:p>
  </w:endnote>
  <w:endnote w:id="26">
    <w:p w14:paraId="2DFFE5B2" w14:textId="155080AA" w:rsidR="00686023" w:rsidRDefault="00686023">
      <w:pPr>
        <w:pStyle w:val="Eindnoottekst"/>
        <w:rPr>
          <w:lang w:val="en-US"/>
        </w:rPr>
      </w:pPr>
      <w:r>
        <w:rPr>
          <w:rStyle w:val="Eindnootmarkering"/>
        </w:rPr>
        <w:endnoteRef/>
      </w:r>
      <w:r w:rsidRPr="0041331A">
        <w:rPr>
          <w:lang w:val="en-US"/>
        </w:rPr>
        <w:t xml:space="preserve"> </w:t>
      </w:r>
      <w:r>
        <w:rPr>
          <w:lang w:val="en-US"/>
        </w:rPr>
        <w:t>KETELAAR, 2009, referring to Jean-Marie Léniaud’s ‘paradigm of patrimony’.</w:t>
      </w:r>
    </w:p>
    <w:p w14:paraId="55B624B9" w14:textId="6AAF45FD" w:rsidR="00686023" w:rsidRPr="0041331A" w:rsidRDefault="00686023">
      <w:pPr>
        <w:pStyle w:val="Eindnoottekst"/>
        <w:rPr>
          <w:lang w:val="en-US"/>
        </w:rPr>
      </w:pPr>
    </w:p>
  </w:endnote>
  <w:endnote w:id="27">
    <w:p w14:paraId="776C0CB1" w14:textId="47157B3A" w:rsidR="00686023" w:rsidRPr="001F015C" w:rsidRDefault="00686023" w:rsidP="00D5394C">
      <w:pPr>
        <w:pStyle w:val="Eindnoottekst"/>
        <w:rPr>
          <w:lang w:val="fr-FR"/>
        </w:rPr>
      </w:pPr>
      <w:r>
        <w:rPr>
          <w:rStyle w:val="Eindnootmarkering"/>
        </w:rPr>
        <w:endnoteRef/>
      </w:r>
      <w:r w:rsidRPr="001F015C">
        <w:rPr>
          <w:lang w:val="fr-FR"/>
        </w:rPr>
        <w:t xml:space="preserve"> ROSA et al., 2019, 181; </w:t>
      </w:r>
      <w:r>
        <w:rPr>
          <w:lang w:val="fr-FR"/>
        </w:rPr>
        <w:t>NOVOA</w:t>
      </w:r>
      <w:r w:rsidRPr="001F015C">
        <w:rPr>
          <w:lang w:val="fr-FR"/>
        </w:rPr>
        <w:t xml:space="preserve">, 2019. </w:t>
      </w:r>
    </w:p>
    <w:p w14:paraId="5118C9CF" w14:textId="77777777" w:rsidR="00686023" w:rsidRPr="001F015C" w:rsidRDefault="00686023" w:rsidP="00D5394C">
      <w:pPr>
        <w:pStyle w:val="Eindnoottekst"/>
        <w:rPr>
          <w:lang w:val="fr-FR"/>
        </w:rPr>
      </w:pPr>
    </w:p>
  </w:endnote>
  <w:endnote w:id="28">
    <w:p w14:paraId="4F174507" w14:textId="4DB86412" w:rsidR="00686023" w:rsidRPr="00EF4DAE" w:rsidRDefault="00686023">
      <w:pPr>
        <w:pStyle w:val="Eindnoottekst"/>
        <w:rPr>
          <w:lang w:val="fr-FR"/>
        </w:rPr>
      </w:pPr>
      <w:r>
        <w:rPr>
          <w:rStyle w:val="Eindnootmarkering"/>
        </w:rPr>
        <w:endnoteRef/>
      </w:r>
      <w:r w:rsidRPr="001F015C">
        <w:rPr>
          <w:lang w:val="fr-FR"/>
        </w:rPr>
        <w:t xml:space="preserve"> PIGGOTT, 2023.</w:t>
      </w:r>
      <w:r>
        <w:rPr>
          <w:lang w:val="fr-FR"/>
        </w:rPr>
        <w:t>.</w:t>
      </w:r>
      <w:r w:rsidRPr="001F015C">
        <w:rPr>
          <w:lang w:val="fr-FR"/>
        </w:rPr>
        <w:t xml:space="preserve"> </w:t>
      </w:r>
    </w:p>
  </w:endnote>
  <w:endnote w:id="29">
    <w:p w14:paraId="4CB2C368" w14:textId="77777777" w:rsidR="00686023" w:rsidRPr="00EF4DAE" w:rsidRDefault="00686023">
      <w:pPr>
        <w:pStyle w:val="Eindnoottekst"/>
        <w:rPr>
          <w:lang w:val="fr-FR"/>
        </w:rPr>
      </w:pPr>
    </w:p>
    <w:p w14:paraId="75828687" w14:textId="25B8DC49" w:rsidR="00686023" w:rsidRPr="00DF7DF0" w:rsidRDefault="00686023">
      <w:pPr>
        <w:pStyle w:val="Eindnoottekst"/>
        <w:rPr>
          <w:lang w:val="en-US"/>
        </w:rPr>
      </w:pPr>
      <w:r>
        <w:rPr>
          <w:rStyle w:val="Eindnootmarkering"/>
        </w:rPr>
        <w:endnoteRef/>
      </w:r>
      <w:r w:rsidRPr="00DF7DF0">
        <w:rPr>
          <w:lang w:val="en-US"/>
        </w:rPr>
        <w:t xml:space="preserve"> ROSA, 2012; LOPES, 2021)</w:t>
      </w:r>
      <w:r>
        <w:rPr>
          <w:lang w:val="en-US"/>
        </w:rPr>
        <w:t>;</w:t>
      </w:r>
      <w:r w:rsidRPr="00DF7DF0">
        <w:rPr>
          <w:lang w:val="en-US"/>
        </w:rPr>
        <w:t xml:space="preserve"> </w:t>
      </w:r>
      <w:r w:rsidRPr="00DF7DF0">
        <w:rPr>
          <w:rFonts w:eastAsiaTheme="minorHAnsi" w:cs="ITCGaramondStd-Bk"/>
          <w:lang w:val="en-US" w:eastAsia="en-US"/>
        </w:rPr>
        <w:t xml:space="preserve">ROSA &amp; HEAD, 2015. </w:t>
      </w:r>
    </w:p>
  </w:endnote>
  <w:endnote w:id="30">
    <w:p w14:paraId="09D56047" w14:textId="77777777" w:rsidR="00686023" w:rsidRPr="00DF7DF0" w:rsidRDefault="00686023" w:rsidP="00F319D1">
      <w:pPr>
        <w:shd w:val="clear" w:color="auto" w:fill="FFFFFF"/>
        <w:rPr>
          <w:lang w:val="en-US"/>
        </w:rPr>
      </w:pPr>
    </w:p>
    <w:p w14:paraId="3576ED21" w14:textId="3FE7B323" w:rsidR="00686023" w:rsidRPr="000B3570" w:rsidRDefault="00686023" w:rsidP="00F319D1">
      <w:pPr>
        <w:shd w:val="clear" w:color="auto" w:fill="FFFFFF"/>
        <w:rPr>
          <w:rFonts w:cs="Arial"/>
          <w:lang w:val="en-US"/>
          <w14:ligatures w14:val="none"/>
        </w:rPr>
      </w:pPr>
      <w:r>
        <w:rPr>
          <w:rStyle w:val="Eindnootmarkering"/>
        </w:rPr>
        <w:endnoteRef/>
      </w:r>
      <w:r w:rsidRPr="000B3570">
        <w:rPr>
          <w:lang w:val="en-US"/>
        </w:rPr>
        <w:t xml:space="preserve"> </w:t>
      </w:r>
      <w:r w:rsidRPr="000B3570">
        <w:rPr>
          <w:rFonts w:cs="Arial"/>
          <w:lang w:val="en-US"/>
          <w14:ligatures w14:val="none"/>
        </w:rPr>
        <w:t>AGUINAGALDE,</w:t>
      </w:r>
      <w:r>
        <w:rPr>
          <w:rFonts w:cs="Arial"/>
          <w:lang w:val="en-US"/>
          <w14:ligatures w14:val="none"/>
        </w:rPr>
        <w:t xml:space="preserve"> 2018.</w:t>
      </w:r>
      <w:r w:rsidRPr="000B3570">
        <w:rPr>
          <w:rFonts w:cs="Arial"/>
          <w:lang w:val="en-US"/>
          <w14:ligatures w14:val="none"/>
        </w:rPr>
        <w:t xml:space="preserve"> </w:t>
      </w:r>
    </w:p>
    <w:p w14:paraId="2E73D8FD" w14:textId="77777777" w:rsidR="00686023" w:rsidRPr="000B3570" w:rsidRDefault="00686023" w:rsidP="00F319D1">
      <w:pPr>
        <w:pStyle w:val="Eindnoottekst"/>
        <w:rPr>
          <w:lang w:val="en-US"/>
        </w:rPr>
      </w:pPr>
    </w:p>
  </w:endnote>
  <w:endnote w:id="31">
    <w:p w14:paraId="571892B4" w14:textId="30BFBFBD" w:rsidR="00686023" w:rsidRDefault="00686023">
      <w:pPr>
        <w:pStyle w:val="Eindnoottekst"/>
        <w:rPr>
          <w:lang w:val="en-US"/>
        </w:rPr>
      </w:pPr>
      <w:r>
        <w:rPr>
          <w:rStyle w:val="Eindnootmarkering"/>
        </w:rPr>
        <w:endnoteRef/>
      </w:r>
      <w:r w:rsidRPr="008E5C44">
        <w:rPr>
          <w:lang w:val="en-US"/>
        </w:rPr>
        <w:t xml:space="preserve"> </w:t>
      </w:r>
      <w:r>
        <w:rPr>
          <w:lang w:val="en-US"/>
        </w:rPr>
        <w:t xml:space="preserve">The literature on community archives is abundant. See SHEFFIELD, 2017. </w:t>
      </w:r>
    </w:p>
    <w:p w14:paraId="6815E10A" w14:textId="77777777" w:rsidR="00686023" w:rsidRPr="008E5C44" w:rsidRDefault="00686023">
      <w:pPr>
        <w:pStyle w:val="Eindnoottekst"/>
        <w:rPr>
          <w:lang w:val="en-US"/>
        </w:rPr>
      </w:pPr>
    </w:p>
  </w:endnote>
  <w:endnote w:id="32">
    <w:p w14:paraId="74CD2783" w14:textId="79C6774E" w:rsidR="00686023" w:rsidRDefault="00686023">
      <w:pPr>
        <w:pStyle w:val="Eindnoottekst"/>
        <w:rPr>
          <w:lang w:val="en-US"/>
        </w:rPr>
      </w:pPr>
      <w:r>
        <w:rPr>
          <w:rStyle w:val="Eindnootmarkering"/>
        </w:rPr>
        <w:endnoteRef/>
      </w:r>
      <w:r w:rsidRPr="00BF25C0">
        <w:rPr>
          <w:lang w:val="en-US"/>
        </w:rPr>
        <w:t xml:space="preserve"> </w:t>
      </w:r>
      <w:r>
        <w:rPr>
          <w:lang w:val="en-US"/>
        </w:rPr>
        <w:t>ROSA et al, 2019; 17.</w:t>
      </w:r>
    </w:p>
    <w:p w14:paraId="73CF6A37" w14:textId="77777777" w:rsidR="00686023" w:rsidRPr="00BF25C0" w:rsidRDefault="00686023">
      <w:pPr>
        <w:pStyle w:val="Eindnoottekst"/>
        <w:rPr>
          <w:lang w:val="en-US"/>
        </w:rPr>
      </w:pPr>
    </w:p>
  </w:endnote>
  <w:endnote w:id="33">
    <w:p w14:paraId="03E5AAB9" w14:textId="06473D25" w:rsidR="00686023" w:rsidRPr="00686023" w:rsidRDefault="00686023" w:rsidP="00B85D36">
      <w:pPr>
        <w:pStyle w:val="Eindnoottekst"/>
      </w:pPr>
      <w:r>
        <w:rPr>
          <w:rStyle w:val="Eindnootmarkering"/>
        </w:rPr>
        <w:endnoteRef/>
      </w:r>
      <w:r w:rsidRPr="00686023">
        <w:t xml:space="preserve"> GILLILAND &amp; FLINN, 2013. </w:t>
      </w:r>
    </w:p>
    <w:p w14:paraId="1258CA62" w14:textId="51490566" w:rsidR="00686023" w:rsidRPr="00686023" w:rsidRDefault="00686023">
      <w:pPr>
        <w:pStyle w:val="Eindnoottekst"/>
      </w:pPr>
    </w:p>
  </w:endnote>
  <w:endnote w:id="34">
    <w:p w14:paraId="0617B50C" w14:textId="5A70FECD" w:rsidR="00686023" w:rsidRPr="00686023" w:rsidRDefault="00686023" w:rsidP="002F7A12">
      <w:pPr>
        <w:pStyle w:val="Eindnoottekst"/>
      </w:pPr>
      <w:r>
        <w:rPr>
          <w:rStyle w:val="Eindnootmarkering"/>
        </w:rPr>
        <w:endnoteRef/>
      </w:r>
      <w:r w:rsidRPr="00686023">
        <w:t xml:space="preserve"> KETELAAR, </w:t>
      </w:r>
      <w:r w:rsidRPr="00686023">
        <w:t>2023a.</w:t>
      </w:r>
    </w:p>
    <w:p w14:paraId="3CF1694C" w14:textId="4EB1568B" w:rsidR="00686023" w:rsidRPr="00686023" w:rsidRDefault="00686023">
      <w:pPr>
        <w:pStyle w:val="Eindnoottekst"/>
      </w:pPr>
    </w:p>
  </w:endnote>
  <w:endnote w:id="35">
    <w:p w14:paraId="43E6B878" w14:textId="188BB3BB" w:rsidR="00686023" w:rsidRPr="00686023" w:rsidRDefault="00686023">
      <w:pPr>
        <w:pStyle w:val="Eindnoottekst"/>
      </w:pPr>
      <w:r>
        <w:rPr>
          <w:rStyle w:val="Eindnootmarkering"/>
        </w:rPr>
        <w:endnoteRef/>
      </w:r>
      <w:r w:rsidRPr="00686023">
        <w:t xml:space="preserve"> LEONG, 2018: 129.</w:t>
      </w:r>
    </w:p>
    <w:p w14:paraId="69C5D222" w14:textId="77777777" w:rsidR="00686023" w:rsidRPr="00686023" w:rsidRDefault="00686023">
      <w:pPr>
        <w:pStyle w:val="Eindnoottekst"/>
      </w:pPr>
    </w:p>
  </w:endnote>
  <w:endnote w:id="36">
    <w:p w14:paraId="01F89CC4" w14:textId="3B05AB35" w:rsidR="00686023" w:rsidRDefault="00686023">
      <w:pPr>
        <w:pStyle w:val="Eindnoottekst"/>
        <w:rPr>
          <w:lang w:val="en-US"/>
        </w:rPr>
      </w:pPr>
      <w:r w:rsidRPr="00B23565">
        <w:rPr>
          <w:rStyle w:val="Eindnootmarkering"/>
        </w:rPr>
        <w:endnoteRef/>
      </w:r>
      <w:r w:rsidRPr="00B23565">
        <w:rPr>
          <w:lang w:val="en-US"/>
        </w:rPr>
        <w:t xml:space="preserve"> INTERNATIONAL COUNCIL ON ARCHIVES 2023</w:t>
      </w:r>
      <w:r>
        <w:rPr>
          <w:lang w:val="en-US"/>
        </w:rPr>
        <w:t>.</w:t>
      </w:r>
    </w:p>
    <w:p w14:paraId="0C647338" w14:textId="77777777" w:rsidR="00686023" w:rsidRPr="00F93342" w:rsidRDefault="00686023">
      <w:pPr>
        <w:pStyle w:val="Eindnoottekst"/>
        <w:rPr>
          <w:lang w:val="en-US"/>
        </w:rPr>
      </w:pPr>
    </w:p>
  </w:endnote>
  <w:endnote w:id="37">
    <w:p w14:paraId="273CCC07" w14:textId="6385D1F7" w:rsidR="00686023" w:rsidRPr="00700E34" w:rsidRDefault="00686023" w:rsidP="00042CCD">
      <w:pPr>
        <w:pStyle w:val="Normaalweb"/>
        <w:spacing w:before="0" w:beforeAutospacing="0" w:after="0" w:afterAutospacing="0"/>
        <w:textAlignment w:val="baseline"/>
        <w:rPr>
          <w:rFonts w:ascii="Verdana" w:hAnsi="Verdana"/>
          <w:sz w:val="20"/>
          <w:szCs w:val="20"/>
          <w:lang w:val="pt-BR"/>
        </w:rPr>
      </w:pPr>
      <w:r w:rsidRPr="00042CCD">
        <w:rPr>
          <w:rStyle w:val="Eindnootmarkering"/>
          <w:rFonts w:ascii="Verdana" w:hAnsi="Verdana"/>
          <w:sz w:val="20"/>
          <w:szCs w:val="20"/>
        </w:rPr>
        <w:endnoteRef/>
      </w:r>
      <w:r w:rsidRPr="004F4748">
        <w:rPr>
          <w:rFonts w:ascii="Verdana" w:hAnsi="Verdana"/>
          <w:sz w:val="20"/>
          <w:szCs w:val="20"/>
          <w:lang w:val="en-US"/>
        </w:rPr>
        <w:t xml:space="preserve"> </w:t>
      </w:r>
      <w:r>
        <w:rPr>
          <w:rFonts w:ascii="Verdana" w:hAnsi="Verdana"/>
          <w:sz w:val="20"/>
          <w:szCs w:val="20"/>
          <w:lang w:val="en-US"/>
        </w:rPr>
        <w:t>MULLER &amp; FEITH &amp; FRUIN, 1973, annotation of paragraph 13: ‘</w:t>
      </w:r>
      <w:r w:rsidRPr="00042CCD">
        <w:rPr>
          <w:rFonts w:ascii="Verdana" w:eastAsia="+mn-ea" w:hAnsi="Verdana" w:cs="+mn-cs"/>
          <w:color w:val="000000"/>
          <w:kern w:val="24"/>
          <w:sz w:val="20"/>
          <w:szCs w:val="20"/>
          <w:highlight w:val="white"/>
          <w:lang w:val="pt-BR"/>
        </w:rPr>
        <w:t>No entanto, não abrange o exposto os chamados «arquivos de família». Constituem estes, por via de regra, um aglomerado de papéis e escritos, que os vários membros de determinada família, ou</w:t>
      </w:r>
      <w:r>
        <w:rPr>
          <w:rFonts w:ascii="Verdana" w:eastAsia="+mn-ea" w:hAnsi="Verdana" w:cs="+mn-cs"/>
          <w:color w:val="000000"/>
          <w:kern w:val="24"/>
          <w:sz w:val="20"/>
          <w:szCs w:val="20"/>
          <w:lang w:val="pt-BR"/>
        </w:rPr>
        <w:t xml:space="preserve"> </w:t>
      </w:r>
      <w:r w:rsidRPr="00042CCD">
        <w:rPr>
          <w:rFonts w:ascii="Verdana" w:eastAsia="+mn-ea" w:hAnsi="Verdana" w:cs="+mn-cs"/>
          <w:color w:val="000000"/>
          <w:kern w:val="24"/>
          <w:sz w:val="20"/>
          <w:szCs w:val="20"/>
          <w:highlight w:val="white"/>
          <w:lang w:val="pt-BR"/>
        </w:rPr>
        <w:t>os habitantes de uma casa ou castelo, na qualidade de pessoas privadas ou a títulos diversos, algumas vezes mesmo como colecio nadores de curiosidades reuniram e conservaram. Os documentos</w:t>
      </w:r>
      <w:r>
        <w:rPr>
          <w:rFonts w:ascii="Verdana" w:eastAsia="+mn-ea" w:hAnsi="Verdana" w:cs="+mn-cs"/>
          <w:color w:val="000000"/>
          <w:kern w:val="24"/>
          <w:sz w:val="20"/>
          <w:szCs w:val="20"/>
          <w:lang w:val="pt-BR"/>
        </w:rPr>
        <w:t xml:space="preserve"> </w:t>
      </w:r>
      <w:r w:rsidRPr="00042CCD">
        <w:rPr>
          <w:rFonts w:ascii="Verdana" w:eastAsia="+mn-ea" w:hAnsi="Verdana" w:cs="+mn-cs"/>
          <w:color w:val="000000"/>
          <w:kern w:val="24"/>
          <w:sz w:val="20"/>
          <w:szCs w:val="20"/>
          <w:highlight w:val="white"/>
          <w:lang w:val="pt-BR"/>
        </w:rPr>
        <w:t>de um arquivo de família não formam «um todo»; foram, não raro, agrupados segundo os mais estranhos critérios e falta-lhes a conexão orgânica de um arquivo no sentido em que o define</w:t>
      </w:r>
      <w:r>
        <w:rPr>
          <w:rFonts w:ascii="Verdana" w:eastAsia="+mn-ea" w:hAnsi="Verdana" w:cs="+mn-cs"/>
          <w:color w:val="000000"/>
          <w:kern w:val="24"/>
          <w:sz w:val="20"/>
          <w:szCs w:val="20"/>
          <w:lang w:val="pt-BR"/>
        </w:rPr>
        <w:t xml:space="preserve"> </w:t>
      </w:r>
      <w:r w:rsidRPr="00042CCD">
        <w:rPr>
          <w:rFonts w:ascii="Verdana" w:eastAsia="+mn-ea" w:hAnsi="Verdana" w:cs="+mn-cs"/>
          <w:color w:val="000000"/>
          <w:kern w:val="24"/>
          <w:sz w:val="20"/>
          <w:szCs w:val="20"/>
          <w:highlight w:val="white"/>
          <w:lang w:val="pt-BR"/>
        </w:rPr>
        <w:t>o presente Manual</w:t>
      </w:r>
      <w:r>
        <w:rPr>
          <w:rFonts w:ascii="Verdana" w:eastAsia="+mn-ea" w:hAnsi="Verdana" w:cs="+mn-cs"/>
          <w:color w:val="000000"/>
          <w:kern w:val="24"/>
          <w:sz w:val="20"/>
          <w:szCs w:val="20"/>
          <w:highlight w:val="white"/>
          <w:lang w:val="pt-BR"/>
        </w:rPr>
        <w:t>.</w:t>
      </w:r>
      <w:r w:rsidRPr="00042CCD">
        <w:rPr>
          <w:rFonts w:ascii="Verdana" w:eastAsia="+mn-ea" w:hAnsi="Verdana" w:cs="+mn-cs"/>
          <w:color w:val="000000"/>
          <w:kern w:val="24"/>
          <w:sz w:val="20"/>
          <w:szCs w:val="20"/>
          <w:highlight w:val="white"/>
          <w:lang w:val="pt-BR"/>
        </w:rPr>
        <w:t xml:space="preserve"> As regras para o arquivo em sua acepção própria, não se aplicam, pois, aos arquivos de família.</w:t>
      </w:r>
      <w:r>
        <w:rPr>
          <w:rFonts w:ascii="Verdana" w:eastAsia="+mn-ea" w:hAnsi="Verdana" w:cs="+mn-cs"/>
          <w:color w:val="000000"/>
          <w:kern w:val="24"/>
          <w:sz w:val="20"/>
          <w:szCs w:val="20"/>
          <w:lang w:val="pt-BR"/>
        </w:rPr>
        <w:t>’</w:t>
      </w:r>
    </w:p>
    <w:p w14:paraId="0C4177FD" w14:textId="626BFFC2" w:rsidR="00686023" w:rsidRPr="00700E34" w:rsidRDefault="00686023">
      <w:pPr>
        <w:pStyle w:val="Eindnoottekst"/>
        <w:rPr>
          <w:lang w:val="pt-BR"/>
        </w:rPr>
      </w:pPr>
    </w:p>
  </w:endnote>
  <w:endnote w:id="38">
    <w:p w14:paraId="4227725C" w14:textId="2078B2DB" w:rsidR="00686023" w:rsidRPr="000B3570" w:rsidRDefault="00686023" w:rsidP="000B3570">
      <w:pPr>
        <w:pStyle w:val="Eindnoottekst"/>
        <w:rPr>
          <w:lang w:val="en-US"/>
        </w:rPr>
      </w:pPr>
      <w:r>
        <w:rPr>
          <w:rStyle w:val="Eindnootmarkering"/>
        </w:rPr>
        <w:endnoteRef/>
      </w:r>
      <w:r w:rsidRPr="000B3570">
        <w:rPr>
          <w:lang w:val="en-US"/>
        </w:rPr>
        <w:t xml:space="preserve"> Just one example: </w:t>
      </w:r>
      <w:r>
        <w:rPr>
          <w:lang w:val="en-US"/>
        </w:rPr>
        <w:t>LOPES</w:t>
      </w:r>
      <w:r w:rsidRPr="000B3570">
        <w:rPr>
          <w:lang w:val="en-US"/>
        </w:rPr>
        <w:t xml:space="preserve">, </w:t>
      </w:r>
      <w:r>
        <w:rPr>
          <w:lang w:val="en-US"/>
        </w:rPr>
        <w:t xml:space="preserve">2021: </w:t>
      </w:r>
      <w:r w:rsidRPr="000B3570">
        <w:rPr>
          <w:lang w:val="en-US"/>
        </w:rPr>
        <w:t>192.</w:t>
      </w:r>
    </w:p>
    <w:p w14:paraId="7E5B0CE2" w14:textId="77777777" w:rsidR="00686023" w:rsidRPr="000B3570" w:rsidRDefault="00686023" w:rsidP="000B3570">
      <w:pPr>
        <w:pStyle w:val="Eindnoottekst"/>
        <w:rPr>
          <w:lang w:val="en-US"/>
        </w:rPr>
      </w:pPr>
    </w:p>
  </w:endnote>
  <w:endnote w:id="39">
    <w:p w14:paraId="6817EB80" w14:textId="0D1A2407" w:rsidR="00686023" w:rsidRPr="00700E34" w:rsidRDefault="00686023">
      <w:pPr>
        <w:pStyle w:val="Eindnoottekst"/>
        <w:rPr>
          <w:color w:val="000000"/>
          <w:shd w:val="clear" w:color="auto" w:fill="FFFFFF"/>
          <w:lang w:val="en-US"/>
        </w:rPr>
      </w:pPr>
      <w:r w:rsidRPr="00700E34">
        <w:rPr>
          <w:rStyle w:val="Eindnootmarkering"/>
        </w:rPr>
        <w:endnoteRef/>
      </w:r>
      <w:r w:rsidRPr="00700E34">
        <w:rPr>
          <w:lang w:val="en-US"/>
        </w:rPr>
        <w:t xml:space="preserve"> </w:t>
      </w:r>
      <w:r>
        <w:rPr>
          <w:lang w:val="en-US"/>
        </w:rPr>
        <w:t>BAZERMAN</w:t>
      </w:r>
      <w:r>
        <w:fldChar w:fldCharType="begin"/>
      </w:r>
      <w:r w:rsidRPr="00633431">
        <w:rPr>
          <w:lang w:val="en-US"/>
        </w:rPr>
        <w:instrText>HYPERLINK "http://genreacrossborders.org/content/systems-genres-and-enactment-social-intentions"</w:instrText>
      </w:r>
      <w:r>
        <w:fldChar w:fldCharType="separate"/>
      </w:r>
      <w:r w:rsidRPr="00700E34">
        <w:rPr>
          <w:color w:val="58123E"/>
          <w:bdr w:val="none" w:sz="0" w:space="0" w:color="auto" w:frame="1"/>
          <w:shd w:val="clear" w:color="auto" w:fill="FFFFFF"/>
          <w:lang w:val="en-US"/>
        </w:rPr>
        <w:t>, 1994</w:t>
      </w:r>
      <w:r>
        <w:rPr>
          <w:color w:val="58123E"/>
          <w:bdr w:val="none" w:sz="0" w:space="0" w:color="auto" w:frame="1"/>
          <w:shd w:val="clear" w:color="auto" w:fill="FFFFFF"/>
          <w:lang w:val="en-US"/>
        </w:rPr>
        <w:t xml:space="preserve">; </w:t>
      </w:r>
      <w:r>
        <w:fldChar w:fldCharType="end"/>
      </w:r>
      <w:r w:rsidRPr="00700E34">
        <w:rPr>
          <w:color w:val="000000"/>
          <w:shd w:val="clear" w:color="auto" w:fill="FFFFFF"/>
          <w:lang w:val="en-US"/>
        </w:rPr>
        <w:t>97.</w:t>
      </w:r>
    </w:p>
    <w:p w14:paraId="00B46199" w14:textId="77777777" w:rsidR="00686023" w:rsidRPr="00700E34" w:rsidRDefault="00686023">
      <w:pPr>
        <w:pStyle w:val="Eindnoottekst"/>
        <w:rPr>
          <w:lang w:val="en-US"/>
        </w:rPr>
      </w:pPr>
    </w:p>
  </w:endnote>
  <w:endnote w:id="40">
    <w:p w14:paraId="57E4CF0C" w14:textId="4140BBD8" w:rsidR="00686023" w:rsidRDefault="00686023">
      <w:pPr>
        <w:pStyle w:val="Eindnoottekst"/>
        <w:rPr>
          <w:lang w:val="en-US"/>
        </w:rPr>
      </w:pPr>
      <w:r>
        <w:rPr>
          <w:rStyle w:val="Eindnootmarkering"/>
        </w:rPr>
        <w:endnoteRef/>
      </w:r>
      <w:r w:rsidRPr="005C3D11">
        <w:rPr>
          <w:lang w:val="en-US"/>
        </w:rPr>
        <w:t xml:space="preserve"> </w:t>
      </w:r>
      <w:r>
        <w:rPr>
          <w:lang w:val="en-US"/>
        </w:rPr>
        <w:t xml:space="preserve">MCKENZIE &amp; DAVIES, 2012: 441. </w:t>
      </w:r>
    </w:p>
    <w:p w14:paraId="4D09A48E" w14:textId="00895CE8" w:rsidR="00686023" w:rsidRPr="005C3D11" w:rsidRDefault="00686023">
      <w:pPr>
        <w:pStyle w:val="Eindnoottekst"/>
        <w:rPr>
          <w:lang w:val="en-US"/>
        </w:rPr>
      </w:pPr>
      <w:r w:rsidRPr="005C3D11">
        <w:rPr>
          <w:rFonts w:eastAsiaTheme="minorHAnsi" w:cs="AdvPTimesB"/>
          <w:szCs w:val="26"/>
          <w:lang w:val="en-US" w:eastAsia="en-US"/>
        </w:rPr>
        <w:t>.</w:t>
      </w:r>
    </w:p>
  </w:endnote>
  <w:endnote w:id="41">
    <w:p w14:paraId="4403A48C" w14:textId="77777777" w:rsidR="00686023" w:rsidRPr="00885811" w:rsidRDefault="00686023" w:rsidP="00940B82">
      <w:pPr>
        <w:pStyle w:val="Eindnoottekst"/>
        <w:rPr>
          <w:lang w:val="en-US"/>
        </w:rPr>
      </w:pPr>
    </w:p>
    <w:p w14:paraId="3EABAD65" w14:textId="6B7317B8" w:rsidR="00686023" w:rsidRDefault="00686023" w:rsidP="00940B82">
      <w:pPr>
        <w:pStyle w:val="Eindnoottekst"/>
        <w:rPr>
          <w:lang w:val="en-US"/>
        </w:rPr>
      </w:pPr>
      <w:r w:rsidRPr="00940B82">
        <w:rPr>
          <w:rStyle w:val="Eindnootmarkering"/>
        </w:rPr>
        <w:endnoteRef/>
      </w:r>
      <w:r w:rsidRPr="00885811">
        <w:rPr>
          <w:lang w:val="en-US"/>
        </w:rPr>
        <w:t xml:space="preserve"> </w:t>
      </w:r>
      <w:bookmarkStart w:id="9" w:name="_Hlk126143324"/>
      <w:r w:rsidRPr="00885811">
        <w:rPr>
          <w:lang w:val="en-US"/>
        </w:rPr>
        <w:t>CLARKE</w:t>
      </w:r>
      <w:r>
        <w:rPr>
          <w:lang w:val="en-US"/>
        </w:rPr>
        <w:t xml:space="preserve"> et al, 2018), 11. </w:t>
      </w:r>
    </w:p>
    <w:bookmarkEnd w:id="9"/>
    <w:p w14:paraId="70719A55" w14:textId="77777777" w:rsidR="00686023" w:rsidRPr="00885811" w:rsidRDefault="00686023" w:rsidP="00940B82">
      <w:pPr>
        <w:pStyle w:val="Eindnoottekst"/>
        <w:rPr>
          <w:lang w:val="en-US"/>
        </w:rPr>
      </w:pPr>
    </w:p>
  </w:endnote>
  <w:endnote w:id="42">
    <w:p w14:paraId="513AA4E4" w14:textId="4BAA4207" w:rsidR="00686023" w:rsidRPr="008D29E4" w:rsidRDefault="00686023" w:rsidP="00940B82">
      <w:pPr>
        <w:spacing w:after="200"/>
        <w:rPr>
          <w:lang w:val="en-GB"/>
        </w:rPr>
      </w:pPr>
      <w:r w:rsidRPr="00940B82">
        <w:rPr>
          <w:rStyle w:val="Eindnootmarkering"/>
        </w:rPr>
        <w:endnoteRef/>
      </w:r>
      <w:r w:rsidRPr="008D29E4">
        <w:rPr>
          <w:lang w:val="en-US"/>
        </w:rPr>
        <w:t xml:space="preserve"> </w:t>
      </w:r>
      <w:r>
        <w:rPr>
          <w:lang w:val="en-US"/>
        </w:rPr>
        <w:t xml:space="preserve">CHUN, </w:t>
      </w:r>
      <w:r w:rsidRPr="008D29E4">
        <w:rPr>
          <w:rFonts w:eastAsia="Calibri"/>
          <w:lang w:val="en-GB"/>
        </w:rPr>
        <w:t>2008</w:t>
      </w:r>
      <w:r>
        <w:rPr>
          <w:rFonts w:eastAsia="Calibri"/>
          <w:lang w:val="en-GB"/>
        </w:rPr>
        <w:t xml:space="preserve">; </w:t>
      </w:r>
      <w:r w:rsidRPr="008D29E4">
        <w:rPr>
          <w:rFonts w:eastAsia="Calibri"/>
          <w:lang w:val="en-GB"/>
        </w:rPr>
        <w:t xml:space="preserve">167, </w:t>
      </w:r>
      <w:r w:rsidRPr="008D29E4">
        <w:rPr>
          <w:rFonts w:eastAsia="Calibri"/>
          <w:lang w:val="en-GB"/>
        </w:rPr>
        <w:t xml:space="preserve">repr. in: </w:t>
      </w:r>
      <w:bookmarkStart w:id="10" w:name="_Hlk182216470"/>
      <w:r w:rsidRPr="008D29E4">
        <w:rPr>
          <w:rFonts w:eastAsia="Calibri"/>
          <w:lang w:val="en-GB"/>
        </w:rPr>
        <w:t>HUHTAMO</w:t>
      </w:r>
      <w:r>
        <w:rPr>
          <w:rFonts w:eastAsia="Calibri"/>
          <w:lang w:val="en-GB"/>
        </w:rPr>
        <w:t xml:space="preserve"> &amp; </w:t>
      </w:r>
      <w:r w:rsidRPr="008D29E4">
        <w:rPr>
          <w:rFonts w:eastAsia="Calibri"/>
          <w:lang w:val="en-GB"/>
        </w:rPr>
        <w:t>PARIKKA</w:t>
      </w:r>
      <w:r>
        <w:rPr>
          <w:rFonts w:eastAsia="Calibri"/>
          <w:lang w:val="en-GB"/>
        </w:rPr>
        <w:t>, 2011: 184.</w:t>
      </w:r>
    </w:p>
    <w:bookmarkEnd w:id="10"/>
  </w:endnote>
  <w:endnote w:id="43">
    <w:p w14:paraId="37A43D4C" w14:textId="3275E300" w:rsidR="00686023" w:rsidRDefault="00686023">
      <w:pPr>
        <w:pStyle w:val="Eindnoottekst"/>
        <w:rPr>
          <w:color w:val="000000"/>
          <w:shd w:val="clear" w:color="auto" w:fill="FFFFFF"/>
          <w:lang w:val="en-US"/>
        </w:rPr>
      </w:pPr>
      <w:r>
        <w:rPr>
          <w:rStyle w:val="Eindnootmarkering"/>
        </w:rPr>
        <w:endnoteRef/>
      </w:r>
      <w:r w:rsidRPr="0031008F">
        <w:rPr>
          <w:lang w:val="en-US"/>
        </w:rPr>
        <w:t xml:space="preserve"> </w:t>
      </w:r>
      <w:r>
        <w:rPr>
          <w:lang w:val="en-US"/>
        </w:rPr>
        <w:t>According to Fiorella Foscarini (in conversation with the author, April 2024),</w:t>
      </w:r>
      <w:r w:rsidRPr="00940B82">
        <w:rPr>
          <w:lang w:val="en-US"/>
        </w:rPr>
        <w:t>g</w:t>
      </w:r>
      <w:r w:rsidRPr="00940B82">
        <w:rPr>
          <w:color w:val="000000"/>
          <w:shd w:val="clear" w:color="auto" w:fill="FFFFFF"/>
          <w:lang w:val="en-US"/>
        </w:rPr>
        <w:t xml:space="preserve">enre systems typically refer to ongoing activities where multiple, different genres interact with one another. She </w:t>
      </w:r>
      <w:r w:rsidRPr="00940B82">
        <w:rPr>
          <w:lang w:val="en-US"/>
        </w:rPr>
        <w:t>agreed, h</w:t>
      </w:r>
      <w:r>
        <w:rPr>
          <w:lang w:val="en-US"/>
        </w:rPr>
        <w:t>owever,</w:t>
      </w:r>
      <w:r w:rsidRPr="0031008F">
        <w:rPr>
          <w:lang w:val="en-US"/>
        </w:rPr>
        <w:t xml:space="preserve"> that </w:t>
      </w:r>
      <w:r w:rsidRPr="0031008F">
        <w:rPr>
          <w:color w:val="000000"/>
          <w:shd w:val="clear" w:color="auto" w:fill="FFFFFF"/>
          <w:lang w:val="en-US"/>
        </w:rPr>
        <w:t xml:space="preserve">a family archives that is </w:t>
      </w:r>
      <w:r>
        <w:rPr>
          <w:color w:val="000000"/>
          <w:shd w:val="clear" w:color="auto" w:fill="FFFFFF"/>
          <w:lang w:val="en-US"/>
        </w:rPr>
        <w:t>‘</w:t>
      </w:r>
      <w:r w:rsidRPr="0031008F">
        <w:rPr>
          <w:color w:val="000000"/>
          <w:shd w:val="clear" w:color="auto" w:fill="FFFFFF"/>
          <w:lang w:val="en-US"/>
        </w:rPr>
        <w:t>in progress</w:t>
      </w:r>
      <w:r>
        <w:rPr>
          <w:color w:val="000000"/>
          <w:shd w:val="clear" w:color="auto" w:fill="FFFFFF"/>
          <w:lang w:val="en-US"/>
        </w:rPr>
        <w:t>’</w:t>
      </w:r>
      <w:r w:rsidRPr="0031008F">
        <w:rPr>
          <w:color w:val="000000"/>
          <w:shd w:val="clear" w:color="auto" w:fill="FFFFFF"/>
          <w:lang w:val="en-US"/>
        </w:rPr>
        <w:t xml:space="preserve"> may qualify as a genre system.</w:t>
      </w:r>
      <w:r>
        <w:rPr>
          <w:color w:val="000000"/>
          <w:shd w:val="clear" w:color="auto" w:fill="FFFFFF"/>
          <w:lang w:val="en-US"/>
        </w:rPr>
        <w:t xml:space="preserve"> </w:t>
      </w:r>
    </w:p>
    <w:p w14:paraId="3F828068" w14:textId="77777777" w:rsidR="00686023" w:rsidRPr="0031008F" w:rsidRDefault="00686023">
      <w:pPr>
        <w:pStyle w:val="Eindnoottekst"/>
        <w:rPr>
          <w:lang w:val="en-US"/>
        </w:rPr>
      </w:pPr>
    </w:p>
  </w:endnote>
  <w:endnote w:id="44">
    <w:p w14:paraId="3D9FEBFE" w14:textId="211EF680" w:rsidR="00686023" w:rsidRPr="00E85D1A" w:rsidRDefault="00686023">
      <w:pPr>
        <w:pStyle w:val="Eindnoottekst"/>
      </w:pPr>
      <w:r>
        <w:rPr>
          <w:rStyle w:val="Eindnootmarkering"/>
        </w:rPr>
        <w:endnoteRef/>
      </w:r>
      <w:r w:rsidRPr="00E85D1A">
        <w:t xml:space="preserve"> KETELAAR, 2021.</w:t>
      </w:r>
    </w:p>
    <w:p w14:paraId="400089D0" w14:textId="5429A5E5" w:rsidR="00686023" w:rsidRPr="00E85D1A" w:rsidRDefault="00686023">
      <w:pPr>
        <w:pStyle w:val="Eindnoottekst"/>
      </w:pPr>
      <w:r w:rsidRPr="00E85D1A">
        <w:t xml:space="preserve"> </w:t>
      </w:r>
    </w:p>
  </w:endnote>
  <w:endnote w:id="45">
    <w:p w14:paraId="43BDF29E" w14:textId="36E408BE" w:rsidR="00686023" w:rsidRPr="00E85D1A" w:rsidRDefault="00686023">
      <w:pPr>
        <w:pStyle w:val="Eindnoottekst"/>
      </w:pPr>
      <w:r>
        <w:rPr>
          <w:rStyle w:val="Eindnootmarkering"/>
        </w:rPr>
        <w:endnoteRef/>
      </w:r>
      <w:r w:rsidRPr="00E85D1A">
        <w:t xml:space="preserve"> LOPES, 2019</w:t>
      </w:r>
      <w:r>
        <w:t xml:space="preserve">; </w:t>
      </w:r>
      <w:r w:rsidRPr="00E85D1A">
        <w:t>209.</w:t>
      </w:r>
    </w:p>
    <w:p w14:paraId="0E91D436" w14:textId="77777777" w:rsidR="00686023" w:rsidRPr="00E85D1A" w:rsidRDefault="00686023">
      <w:pPr>
        <w:pStyle w:val="Eindnoottekst"/>
      </w:pPr>
    </w:p>
  </w:endnote>
  <w:endnote w:id="46">
    <w:p w14:paraId="2D2EB44A" w14:textId="65302A00" w:rsidR="00686023" w:rsidRPr="00E85D1A" w:rsidRDefault="00686023">
      <w:pPr>
        <w:pStyle w:val="Eindnoottekst"/>
      </w:pPr>
      <w:r>
        <w:rPr>
          <w:rStyle w:val="Eindnootmarkering"/>
        </w:rPr>
        <w:endnoteRef/>
      </w:r>
      <w:r>
        <w:t xml:space="preserve"> </w:t>
      </w:r>
      <w:r w:rsidRPr="00E85D1A">
        <w:t>KETELAAR, 1999.</w:t>
      </w:r>
    </w:p>
    <w:p w14:paraId="25081863" w14:textId="77777777" w:rsidR="00686023" w:rsidRDefault="00686023">
      <w:pPr>
        <w:pStyle w:val="Eindnoottekst"/>
      </w:pPr>
    </w:p>
  </w:endnote>
  <w:endnote w:id="47">
    <w:p w14:paraId="673A6D18" w14:textId="03C83F0F" w:rsidR="00686023" w:rsidRPr="00E85D1A" w:rsidRDefault="00686023" w:rsidP="004C15F5">
      <w:pPr>
        <w:pStyle w:val="Eindnoottekst"/>
        <w:jc w:val="both"/>
      </w:pPr>
      <w:r>
        <w:rPr>
          <w:rStyle w:val="Eindnootmarkering"/>
        </w:rPr>
        <w:endnoteRef/>
      </w:r>
      <w:r w:rsidRPr="00E85D1A">
        <w:t xml:space="preserve"> COHEN, 2014. </w:t>
      </w:r>
    </w:p>
    <w:p w14:paraId="6A8F5441" w14:textId="46F7DE62" w:rsidR="00686023" w:rsidRPr="00E85D1A" w:rsidRDefault="00686023">
      <w:pPr>
        <w:pStyle w:val="Eindnoottekst"/>
      </w:pPr>
    </w:p>
  </w:endnote>
  <w:endnote w:id="48">
    <w:p w14:paraId="2828A734" w14:textId="40F634D1" w:rsidR="00686023" w:rsidRPr="00E85D1A" w:rsidRDefault="00686023">
      <w:pPr>
        <w:pStyle w:val="Eindnoottekst"/>
      </w:pPr>
      <w:r>
        <w:rPr>
          <w:rStyle w:val="Eindnootmarkering"/>
        </w:rPr>
        <w:endnoteRef/>
      </w:r>
      <w:r w:rsidRPr="00E85D1A">
        <w:t xml:space="preserve"> HARRIS, 2011</w:t>
      </w:r>
      <w:r>
        <w:t xml:space="preserve">: </w:t>
      </w:r>
      <w:r w:rsidRPr="00E85D1A">
        <w:t xml:space="preserve">116. </w:t>
      </w:r>
    </w:p>
    <w:p w14:paraId="4B4061C9" w14:textId="77777777" w:rsidR="00686023" w:rsidRPr="00E85D1A" w:rsidRDefault="00686023">
      <w:pPr>
        <w:pStyle w:val="Eindnoottekst"/>
      </w:pPr>
    </w:p>
  </w:endnote>
  <w:endnote w:id="49">
    <w:p w14:paraId="3BBA9CC6" w14:textId="36C72252" w:rsidR="00686023" w:rsidRPr="00686023" w:rsidRDefault="00686023">
      <w:pPr>
        <w:pStyle w:val="Eindnoottekst"/>
        <w:rPr>
          <w14:ligatures w14:val="none"/>
        </w:rPr>
      </w:pPr>
      <w:r>
        <w:rPr>
          <w:rStyle w:val="Eindnootmarkering"/>
        </w:rPr>
        <w:endnoteRef/>
      </w:r>
      <w:r w:rsidRPr="00E85D1A">
        <w:t xml:space="preserve"> </w:t>
      </w:r>
      <w:r w:rsidRPr="00E85D1A">
        <w:rPr>
          <w14:ligatures w14:val="none"/>
        </w:rPr>
        <w:t xml:space="preserve">LEIBNIZ, 1714. </w:t>
      </w:r>
    </w:p>
    <w:p w14:paraId="0A9A8674" w14:textId="77777777" w:rsidR="00686023" w:rsidRPr="00686023" w:rsidRDefault="00686023">
      <w:pPr>
        <w:pStyle w:val="Eindnoottekst"/>
      </w:pPr>
    </w:p>
  </w:endnote>
  <w:endnote w:id="50">
    <w:p w14:paraId="075FAEF9" w14:textId="19382BD2" w:rsidR="00686023" w:rsidRPr="004E139C" w:rsidRDefault="00686023">
      <w:pPr>
        <w:pStyle w:val="Eindnoottekst"/>
      </w:pPr>
      <w:r>
        <w:rPr>
          <w:rStyle w:val="Eindnootmarkering"/>
        </w:rPr>
        <w:endnoteRef/>
      </w:r>
      <w:r>
        <w:t xml:space="preserve"> STEEDMAN, 2002: 11. </w:t>
      </w:r>
    </w:p>
  </w:endnote>
  <w:endnote w:id="51">
    <w:p w14:paraId="155A5872" w14:textId="77777777" w:rsidR="00686023" w:rsidRPr="004E139C" w:rsidRDefault="00686023" w:rsidP="00E66F98">
      <w:pPr>
        <w:pStyle w:val="Eindnoottekst"/>
      </w:pPr>
    </w:p>
    <w:p w14:paraId="7B7B59DF" w14:textId="0C2227B7" w:rsidR="00686023" w:rsidRPr="00686023" w:rsidRDefault="00686023" w:rsidP="00E66F98">
      <w:pPr>
        <w:pStyle w:val="Eindnoottekst"/>
      </w:pPr>
      <w:r>
        <w:rPr>
          <w:rStyle w:val="Eindnootmarkering"/>
        </w:rPr>
        <w:endnoteRef/>
      </w:r>
      <w:r w:rsidRPr="00686023">
        <w:t xml:space="preserve"> </w:t>
      </w:r>
      <w:hyperlink r:id="rId1" w:history="1">
        <w:r w:rsidRPr="00686023">
          <w:rPr>
            <w:rStyle w:val="Hyperlink"/>
          </w:rPr>
          <w:t>https://thedecisionlab.com/biases/survivorship-bias</w:t>
        </w:r>
      </w:hyperlink>
      <w:r w:rsidRPr="00686023">
        <w:t xml:space="preserve"> </w:t>
      </w:r>
    </w:p>
    <w:p w14:paraId="4633B101" w14:textId="77777777" w:rsidR="00686023" w:rsidRPr="00686023" w:rsidRDefault="00686023" w:rsidP="00E66F98">
      <w:pPr>
        <w:pStyle w:val="Eindnoottekst"/>
      </w:pPr>
    </w:p>
  </w:endnote>
  <w:endnote w:id="52">
    <w:p w14:paraId="33921B41" w14:textId="4FEF87BF" w:rsidR="00686023" w:rsidRPr="00431371" w:rsidRDefault="00686023" w:rsidP="00E66F98">
      <w:pPr>
        <w:pStyle w:val="Eindnoottekst"/>
        <w:rPr>
          <w:rFonts w:eastAsia="Arial Unicode MS" w:cs="Arial Unicode MS"/>
          <w:color w:val="000000"/>
          <w:u w:color="000000"/>
          <w:bdr w:val="nil"/>
          <w:lang w:val="de-DE"/>
          <w14:ligatures w14:val="none"/>
        </w:rPr>
      </w:pPr>
      <w:r>
        <w:rPr>
          <w:rStyle w:val="Eindnootmarkering"/>
        </w:rPr>
        <w:endnoteRef/>
      </w:r>
      <w:r w:rsidRPr="00635AB7">
        <w:rPr>
          <w:lang w:val="en-US"/>
        </w:rPr>
        <w:t xml:space="preserve"> </w:t>
      </w:r>
      <w:r>
        <w:rPr>
          <w:lang w:val="en-US"/>
        </w:rPr>
        <w:t xml:space="preserve">ESCH, 1985;  NOVOA, 2019; </w:t>
      </w:r>
      <w:r>
        <w:rPr>
          <w:rFonts w:eastAsia="Arial Unicode MS" w:hAnsi="Arial Unicode MS" w:cs="Arial Unicode MS"/>
          <w:color w:val="000000"/>
          <w:u w:color="000000"/>
          <w:bdr w:val="nil"/>
          <w:lang w:val="de-DE"/>
          <w14:ligatures w14:val="none"/>
        </w:rPr>
        <w:t xml:space="preserve">182-183. </w:t>
      </w:r>
      <w:r w:rsidRPr="00431371">
        <w:rPr>
          <w:rFonts w:eastAsia="Arial Unicode MS" w:cs="Arial Unicode MS"/>
          <w:color w:val="000000"/>
          <w:u w:color="000000"/>
          <w:bdr w:val="nil"/>
          <w:lang w:val="en-US"/>
          <w14:ligatures w14:val="none"/>
        </w:rPr>
        <w:t xml:space="preserve">See also </w:t>
      </w:r>
      <w:r>
        <w:rPr>
          <w:rFonts w:eastAsia="Arial Unicode MS" w:cs="Arial Unicode MS"/>
          <w:color w:val="000000"/>
          <w:u w:color="000000"/>
          <w:bdr w:val="nil"/>
          <w:lang w:val="en-US"/>
          <w14:ligatures w14:val="none"/>
        </w:rPr>
        <w:t>PIGGOTT, 2012; ‘</w:t>
      </w:r>
      <w:r w:rsidRPr="00431371">
        <w:rPr>
          <w:rFonts w:eastAsia="Arial Unicode MS" w:cs="Arial Unicode MS"/>
          <w:color w:val="000000"/>
          <w:u w:color="000000"/>
          <w:bdr w:val="nil"/>
          <w:lang w:val="en-US"/>
          <w14:ligatures w14:val="none"/>
        </w:rPr>
        <w:t>the silences of non-creation</w:t>
      </w:r>
      <w:r>
        <w:rPr>
          <w:rFonts w:eastAsia="Arial Unicode MS" w:cs="Arial Unicode MS"/>
          <w:color w:val="000000"/>
          <w:u w:color="000000"/>
          <w:bdr w:val="nil"/>
          <w:lang w:val="en-US"/>
          <w14:ligatures w14:val="none"/>
        </w:rPr>
        <w:t>’’</w:t>
      </w:r>
      <w:r w:rsidRPr="00431371">
        <w:rPr>
          <w:rFonts w:eastAsia="Arial Unicode MS" w:cs="Arial Unicode MS"/>
          <w:color w:val="000000"/>
          <w:u w:color="000000"/>
          <w:bdr w:val="nil"/>
          <w:lang w:val="en-US"/>
          <w14:ligatures w14:val="none"/>
        </w:rPr>
        <w:t xml:space="preserve"> (p. 3), and the </w:t>
      </w:r>
      <w:r>
        <w:rPr>
          <w:rFonts w:eastAsia="Arial Unicode MS" w:cs="Arial Unicode MS"/>
          <w:color w:val="000000"/>
          <w:u w:color="000000"/>
          <w:bdr w:val="nil"/>
          <w:lang w:val="en-US"/>
          <w14:ligatures w14:val="none"/>
        </w:rPr>
        <w:t>‘</w:t>
      </w:r>
      <w:r w:rsidRPr="00431371">
        <w:rPr>
          <w:rFonts w:eastAsia="Arial Unicode MS" w:cs="Arial Unicode MS"/>
          <w:color w:val="000000"/>
          <w:u w:color="000000"/>
          <w:bdr w:val="nil"/>
          <w:lang w:val="en-US"/>
          <w14:ligatures w14:val="none"/>
        </w:rPr>
        <w:t>infertile opposite</w:t>
      </w:r>
      <w:r>
        <w:rPr>
          <w:rFonts w:eastAsia="Arial Unicode MS" w:cs="Arial Unicode MS"/>
          <w:color w:val="000000"/>
          <w:u w:color="000000"/>
          <w:bdr w:val="nil"/>
          <w:lang w:val="en-US"/>
          <w14:ligatures w14:val="none"/>
        </w:rPr>
        <w:t>’’</w:t>
      </w:r>
      <w:r w:rsidRPr="00431371">
        <w:rPr>
          <w:rFonts w:eastAsia="Arial Unicode MS" w:cs="Arial Unicode MS"/>
          <w:color w:val="000000"/>
          <w:u w:color="000000"/>
          <w:bdr w:val="nil"/>
          <w:lang w:val="en-US"/>
          <w14:ligatures w14:val="none"/>
        </w:rPr>
        <w:t xml:space="preserve"> of record creation (p. 188). </w:t>
      </w:r>
    </w:p>
    <w:p w14:paraId="072C5B84" w14:textId="77777777" w:rsidR="00686023" w:rsidRPr="00431371" w:rsidRDefault="00686023" w:rsidP="00E66F98">
      <w:pPr>
        <w:pStyle w:val="Eindnoottekst"/>
        <w:rPr>
          <w:lang w:val="de-DE"/>
        </w:rPr>
      </w:pPr>
    </w:p>
  </w:endnote>
  <w:endnote w:id="53">
    <w:p w14:paraId="4BBF94B2" w14:textId="3BB9525D" w:rsidR="00686023" w:rsidRPr="00431371" w:rsidRDefault="00686023" w:rsidP="00E66F98">
      <w:pPr>
        <w:pStyle w:val="Eindnoottekst"/>
        <w:rPr>
          <w:lang w:val="en-US"/>
        </w:rPr>
      </w:pPr>
      <w:r w:rsidRPr="00431371">
        <w:rPr>
          <w:rStyle w:val="Eindnootmarkering"/>
        </w:rPr>
        <w:endnoteRef/>
      </w:r>
      <w:r w:rsidRPr="00431371">
        <w:rPr>
          <w:lang w:val="en-US"/>
        </w:rPr>
        <w:t xml:space="preserve"> </w:t>
      </w:r>
      <w:r>
        <w:rPr>
          <w:lang w:val="en-US"/>
        </w:rPr>
        <w:t xml:space="preserve">DERRIDA, 1996; </w:t>
      </w:r>
      <w:r w:rsidRPr="004E139C">
        <w:rPr>
          <w:lang w:val="en-US"/>
        </w:rPr>
        <w:t>10 and 19.</w:t>
      </w:r>
    </w:p>
  </w:endnote>
  <w:endnote w:id="54">
    <w:p w14:paraId="0FB83DEB" w14:textId="77777777" w:rsidR="00686023" w:rsidRPr="00431371" w:rsidRDefault="00686023" w:rsidP="00E66F98">
      <w:pPr>
        <w:pStyle w:val="Eindnoottekst"/>
        <w:rPr>
          <w:lang w:val="en-US"/>
        </w:rPr>
      </w:pPr>
    </w:p>
    <w:p w14:paraId="2A2C1E43" w14:textId="091A08A4" w:rsidR="00686023" w:rsidRPr="00431371" w:rsidRDefault="00686023" w:rsidP="00E66F98">
      <w:pPr>
        <w:pStyle w:val="Eindnoottekst"/>
        <w:rPr>
          <w:lang w:val="en-US"/>
        </w:rPr>
      </w:pPr>
      <w:r w:rsidRPr="00431371">
        <w:rPr>
          <w:rStyle w:val="Eindnootmarkering"/>
        </w:rPr>
        <w:endnoteRef/>
      </w:r>
      <w:r w:rsidRPr="00431371">
        <w:rPr>
          <w:lang w:val="en-US"/>
        </w:rPr>
        <w:t xml:space="preserve"> </w:t>
      </w:r>
      <w:r>
        <w:rPr>
          <w:lang w:val="en-US"/>
        </w:rPr>
        <w:t>FRIEDRICH, 2018</w:t>
      </w:r>
      <w:r w:rsidRPr="00431371">
        <w:rPr>
          <w:rFonts w:cs="Arial"/>
          <w:color w:val="222222"/>
          <w:shd w:val="clear" w:color="auto" w:fill="FFFFFF"/>
          <w:lang w:val="en-US"/>
        </w:rPr>
        <w:t>.</w:t>
      </w:r>
    </w:p>
  </w:endnote>
  <w:endnote w:id="55">
    <w:p w14:paraId="7991CB86" w14:textId="77777777" w:rsidR="00686023" w:rsidRPr="00431371" w:rsidRDefault="00686023" w:rsidP="00E66F98">
      <w:pPr>
        <w:pStyle w:val="Eindnoottekst"/>
        <w:rPr>
          <w:lang w:val="en-US"/>
        </w:rPr>
      </w:pPr>
    </w:p>
    <w:p w14:paraId="6939D60D" w14:textId="38AE12F5" w:rsidR="00686023" w:rsidRPr="00F067FE" w:rsidRDefault="00686023" w:rsidP="00E66F98">
      <w:pPr>
        <w:pStyle w:val="Eindnoottekst"/>
        <w:rPr>
          <w:lang w:val="en-US"/>
        </w:rPr>
      </w:pPr>
      <w:r w:rsidRPr="001F015C">
        <w:rPr>
          <w:rStyle w:val="Eindnootmarkering"/>
        </w:rPr>
        <w:endnoteRef/>
      </w:r>
      <w:r w:rsidRPr="001F015C">
        <w:rPr>
          <w:lang w:val="en-US"/>
        </w:rPr>
        <w:t xml:space="preserve"> </w:t>
      </w:r>
      <w:r>
        <w:rPr>
          <w:lang w:val="en-US"/>
        </w:rPr>
        <w:t xml:space="preserve">KETELAAR, 2020; </w:t>
      </w:r>
      <w:r>
        <w:rPr>
          <w:lang w:val="en-US"/>
        </w:rPr>
        <w:t>1</w:t>
      </w:r>
      <w:r w:rsidRPr="001F015C">
        <w:rPr>
          <w:lang w:val="en-US"/>
        </w:rPr>
        <w:t>4a.</w:t>
      </w:r>
    </w:p>
  </w:endnote>
  <w:endnote w:id="56">
    <w:p w14:paraId="01F8C33E" w14:textId="77777777" w:rsidR="00686023" w:rsidRPr="00540896" w:rsidRDefault="00686023">
      <w:pPr>
        <w:pStyle w:val="Eindnoottekst"/>
        <w:rPr>
          <w:lang w:val="en-US"/>
        </w:rPr>
      </w:pPr>
    </w:p>
    <w:p w14:paraId="53E038C3" w14:textId="6D8A9822" w:rsidR="00686023" w:rsidRPr="00E85D1A" w:rsidRDefault="00686023">
      <w:pPr>
        <w:pStyle w:val="Eindnoottekst"/>
        <w:rPr>
          <w:lang w:val="en-US"/>
        </w:rPr>
      </w:pPr>
      <w:r>
        <w:rPr>
          <w:rStyle w:val="Eindnootmarkering"/>
        </w:rPr>
        <w:endnoteRef/>
      </w:r>
      <w:r w:rsidRPr="00E85D1A">
        <w:rPr>
          <w:lang w:val="en-US"/>
        </w:rPr>
        <w:t xml:space="preserve"> KETELAAR, </w:t>
      </w:r>
      <w:r w:rsidRPr="00E85D1A">
        <w:rPr>
          <w:lang w:val="en-US"/>
        </w:rPr>
        <w:t xml:space="preserve">2023b. </w:t>
      </w:r>
    </w:p>
    <w:p w14:paraId="59D6A728" w14:textId="77777777" w:rsidR="00686023" w:rsidRPr="00E85D1A" w:rsidRDefault="00686023">
      <w:pPr>
        <w:pStyle w:val="Eindnoottekst"/>
        <w:rPr>
          <w:lang w:val="en-US"/>
        </w:rPr>
      </w:pPr>
    </w:p>
  </w:endnote>
  <w:endnote w:id="57">
    <w:p w14:paraId="28D0CF57" w14:textId="02B4C1CF" w:rsidR="00686023" w:rsidRDefault="00686023">
      <w:pPr>
        <w:pStyle w:val="Eindnoottekst"/>
        <w:rPr>
          <w:lang w:val="en-US"/>
        </w:rPr>
      </w:pPr>
      <w:r>
        <w:rPr>
          <w:rStyle w:val="Eindnootmarkering"/>
        </w:rPr>
        <w:endnoteRef/>
      </w:r>
      <w:r w:rsidRPr="00697250">
        <w:rPr>
          <w:lang w:val="en-US"/>
        </w:rPr>
        <w:t xml:space="preserve"> </w:t>
      </w:r>
      <w:r w:rsidRPr="0073075D">
        <w:rPr>
          <w:lang w:val="en-US"/>
        </w:rPr>
        <w:t>INTERNATIONAL COUNCIL ON ARCHIVES</w:t>
      </w:r>
      <w:r>
        <w:rPr>
          <w:lang w:val="en-US"/>
        </w:rPr>
        <w:t xml:space="preserve">, </w:t>
      </w:r>
      <w:r w:rsidRPr="0073075D">
        <w:rPr>
          <w:lang w:val="en-US"/>
        </w:rPr>
        <w:t>2023.</w:t>
      </w:r>
    </w:p>
    <w:p w14:paraId="40D24B8D" w14:textId="77777777" w:rsidR="00686023" w:rsidRPr="00697250" w:rsidRDefault="00686023">
      <w:pPr>
        <w:pStyle w:val="Eindnoottekst"/>
        <w:rPr>
          <w:lang w:val="en-US"/>
        </w:rPr>
      </w:pPr>
    </w:p>
  </w:endnote>
  <w:endnote w:id="58">
    <w:p w14:paraId="0DA0E882" w14:textId="53FBECB5" w:rsidR="00686023" w:rsidRDefault="00686023" w:rsidP="002F7A12">
      <w:pPr>
        <w:rPr>
          <w:lang w:val="en-US"/>
        </w:rPr>
      </w:pPr>
      <w:r>
        <w:rPr>
          <w:rStyle w:val="Eindnootmarkering"/>
        </w:rPr>
        <w:endnoteRef/>
      </w:r>
      <w:r w:rsidRPr="002F7A12">
        <w:rPr>
          <w:lang w:val="en-US"/>
        </w:rPr>
        <w:t xml:space="preserve"> </w:t>
      </w:r>
      <w:r>
        <w:rPr>
          <w:lang w:val="en-US"/>
        </w:rPr>
        <w:t xml:space="preserve">KETELAAR, </w:t>
      </w:r>
      <w:r>
        <w:rPr>
          <w:lang w:val="en-US"/>
        </w:rPr>
        <w:t>2023</w:t>
      </w:r>
      <w:r w:rsidRPr="00E85D1A">
        <w:rPr>
          <w:lang w:val="en-US"/>
        </w:rPr>
        <w:t>c</w:t>
      </w:r>
      <w:r>
        <w:rPr>
          <w:lang w:val="en-US"/>
        </w:rPr>
        <w:t xml:space="preserve">. </w:t>
      </w:r>
    </w:p>
    <w:p w14:paraId="11E34F3C" w14:textId="7627A4D4" w:rsidR="00686023" w:rsidRPr="002F7A12" w:rsidRDefault="00686023">
      <w:pPr>
        <w:pStyle w:val="Eindnoottekst"/>
        <w:rPr>
          <w:lang w:val="en-US"/>
        </w:rPr>
      </w:pPr>
    </w:p>
  </w:endnote>
  <w:endnote w:id="59">
    <w:p w14:paraId="66A25494" w14:textId="32E0CD20" w:rsidR="00686023" w:rsidRPr="00540896" w:rsidRDefault="00686023">
      <w:pPr>
        <w:pStyle w:val="Eindnoottekst"/>
        <w:rPr>
          <w:lang w:val="en-US"/>
        </w:rPr>
      </w:pPr>
      <w:r>
        <w:rPr>
          <w:rStyle w:val="Eindnootmarkering"/>
        </w:rPr>
        <w:endnoteRef/>
      </w:r>
      <w:r>
        <w:rPr>
          <w:lang w:val="en-US"/>
        </w:rPr>
        <w:t xml:space="preserve"> </w:t>
      </w:r>
      <w:bookmarkStart w:id="11" w:name="_Hlk182217509"/>
      <w:r>
        <w:rPr>
          <w:lang w:val="en-US"/>
        </w:rPr>
        <w:t>CASWELL &amp; CIFOR, 2016); 23.</w:t>
      </w:r>
    </w:p>
    <w:bookmarkEnd w:id="11"/>
  </w:endnote>
  <w:endnote w:id="60">
    <w:p w14:paraId="6FB764DB" w14:textId="77777777" w:rsidR="00686023" w:rsidRDefault="00686023">
      <w:pPr>
        <w:pStyle w:val="Eindnoottekst"/>
        <w:rPr>
          <w:lang w:val="en-US"/>
        </w:rPr>
      </w:pPr>
    </w:p>
    <w:p w14:paraId="47A94DCF" w14:textId="65A451B5" w:rsidR="00686023" w:rsidRDefault="00686023">
      <w:pPr>
        <w:pStyle w:val="Eindnoottekst"/>
        <w:rPr>
          <w:lang w:val="en-US"/>
        </w:rPr>
      </w:pPr>
      <w:r>
        <w:rPr>
          <w:rStyle w:val="Eindnootmarkering"/>
        </w:rPr>
        <w:endnoteRef/>
      </w:r>
      <w:r w:rsidRPr="00540896">
        <w:rPr>
          <w:lang w:val="en-US"/>
        </w:rPr>
        <w:t xml:space="preserve"> </w:t>
      </w:r>
      <w:r>
        <w:rPr>
          <w:lang w:val="en-US"/>
        </w:rPr>
        <w:t xml:space="preserve">HELD, 2006; 10. </w:t>
      </w:r>
    </w:p>
    <w:p w14:paraId="53989825" w14:textId="77777777" w:rsidR="00686023" w:rsidRPr="00540896" w:rsidRDefault="00686023">
      <w:pPr>
        <w:pStyle w:val="Eindnoottekst"/>
        <w:rPr>
          <w:lang w:val="en-US"/>
        </w:rPr>
      </w:pPr>
    </w:p>
  </w:endnote>
  <w:endnote w:id="61">
    <w:p w14:paraId="7C7893C7" w14:textId="1AE14FB3" w:rsidR="00686023" w:rsidRDefault="00686023" w:rsidP="00D908FF">
      <w:pPr>
        <w:spacing w:after="160"/>
        <w:rPr>
          <w:lang w:val="en-US"/>
        </w:rPr>
      </w:pPr>
      <w:r>
        <w:rPr>
          <w:rStyle w:val="Eindnootmarkering"/>
        </w:rPr>
        <w:endnoteRef/>
      </w:r>
      <w:r w:rsidRPr="00D908FF">
        <w:rPr>
          <w:lang w:val="en-US"/>
        </w:rPr>
        <w:t xml:space="preserve"> </w:t>
      </w:r>
      <w:r>
        <w:rPr>
          <w:lang w:val="en-US"/>
        </w:rPr>
        <w:t>OWENS, 2024; 137.</w:t>
      </w:r>
    </w:p>
    <w:p w14:paraId="10D4BCBB" w14:textId="0E21343C" w:rsidR="00686023" w:rsidRPr="00D908FF" w:rsidRDefault="00686023">
      <w:pPr>
        <w:pStyle w:val="Eindnoottekst"/>
        <w:rPr>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TCGaramondStd-Bk">
    <w:altName w:val="Cambria"/>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dvOT5fcf1b24">
    <w:altName w:val="Calibri"/>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 w:name="AdvPTimesB">
    <w:altName w:val="Cambria"/>
    <w:panose1 w:val="00000000000000000000"/>
    <w:charset w:val="00"/>
    <w:family w:val="roman"/>
    <w:notTrueType/>
    <w:pitch w:val="default"/>
    <w:sig w:usb0="00000003" w:usb1="00000000" w:usb2="00000000" w:usb3="00000000" w:csb0="00000001" w:csb1="00000000"/>
  </w:font>
  <w:font w:name="AdvPTimes">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51A01" w14:textId="77777777" w:rsidR="0078603F" w:rsidRDefault="0078603F" w:rsidP="008D678B">
      <w:r>
        <w:separator/>
      </w:r>
    </w:p>
  </w:footnote>
  <w:footnote w:type="continuationSeparator" w:id="0">
    <w:p w14:paraId="233862B3" w14:textId="77777777" w:rsidR="0078603F" w:rsidRDefault="0078603F" w:rsidP="008D67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1817606"/>
      <w:docPartObj>
        <w:docPartGallery w:val="Page Numbers (Top of Page)"/>
        <w:docPartUnique/>
      </w:docPartObj>
    </w:sdtPr>
    <w:sdtContent>
      <w:p w14:paraId="505F8E58" w14:textId="69EA98D6" w:rsidR="00D64D4E" w:rsidRDefault="00D64D4E">
        <w:pPr>
          <w:pStyle w:val="Koptekst"/>
          <w:jc w:val="right"/>
        </w:pPr>
        <w:r>
          <w:fldChar w:fldCharType="begin"/>
        </w:r>
        <w:r>
          <w:instrText>PAGE   \* MERGEFORMAT</w:instrText>
        </w:r>
        <w:r>
          <w:fldChar w:fldCharType="separate"/>
        </w:r>
        <w:r>
          <w:t>2</w:t>
        </w:r>
        <w:r>
          <w:fldChar w:fldCharType="end"/>
        </w:r>
      </w:p>
    </w:sdtContent>
  </w:sdt>
  <w:p w14:paraId="0FA20150" w14:textId="77777777" w:rsidR="00D64D4E" w:rsidRDefault="00D64D4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338E4"/>
    <w:multiLevelType w:val="multilevel"/>
    <w:tmpl w:val="606C8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7848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AF"/>
    <w:rsid w:val="0000201E"/>
    <w:rsid w:val="000068A6"/>
    <w:rsid w:val="00021B84"/>
    <w:rsid w:val="000230FA"/>
    <w:rsid w:val="00024689"/>
    <w:rsid w:val="00027430"/>
    <w:rsid w:val="0003006E"/>
    <w:rsid w:val="000355F0"/>
    <w:rsid w:val="0004098A"/>
    <w:rsid w:val="00042CCD"/>
    <w:rsid w:val="0004367D"/>
    <w:rsid w:val="0005455F"/>
    <w:rsid w:val="00063DC8"/>
    <w:rsid w:val="00066EDF"/>
    <w:rsid w:val="00067CD0"/>
    <w:rsid w:val="00080566"/>
    <w:rsid w:val="000833DA"/>
    <w:rsid w:val="00091D87"/>
    <w:rsid w:val="000A6C59"/>
    <w:rsid w:val="000B1B68"/>
    <w:rsid w:val="000B2C76"/>
    <w:rsid w:val="000B3570"/>
    <w:rsid w:val="000D2158"/>
    <w:rsid w:val="000D7DC0"/>
    <w:rsid w:val="000E06D9"/>
    <w:rsid w:val="000E2584"/>
    <w:rsid w:val="000E7CC3"/>
    <w:rsid w:val="000F5C82"/>
    <w:rsid w:val="00124E74"/>
    <w:rsid w:val="0013291C"/>
    <w:rsid w:val="00167B86"/>
    <w:rsid w:val="00173286"/>
    <w:rsid w:val="00174FC4"/>
    <w:rsid w:val="00175399"/>
    <w:rsid w:val="00176963"/>
    <w:rsid w:val="00182866"/>
    <w:rsid w:val="00186A82"/>
    <w:rsid w:val="0019155C"/>
    <w:rsid w:val="00192393"/>
    <w:rsid w:val="001A0661"/>
    <w:rsid w:val="001A2055"/>
    <w:rsid w:val="001A206A"/>
    <w:rsid w:val="001B066F"/>
    <w:rsid w:val="001D3465"/>
    <w:rsid w:val="001D7E6D"/>
    <w:rsid w:val="001E34AE"/>
    <w:rsid w:val="001F015C"/>
    <w:rsid w:val="001F1AA1"/>
    <w:rsid w:val="001F1DE2"/>
    <w:rsid w:val="001F2D14"/>
    <w:rsid w:val="00206EBF"/>
    <w:rsid w:val="00227B6C"/>
    <w:rsid w:val="00231293"/>
    <w:rsid w:val="0023506C"/>
    <w:rsid w:val="0024404B"/>
    <w:rsid w:val="0024687B"/>
    <w:rsid w:val="00270E5B"/>
    <w:rsid w:val="00282404"/>
    <w:rsid w:val="00287127"/>
    <w:rsid w:val="0029189E"/>
    <w:rsid w:val="002A0768"/>
    <w:rsid w:val="002B2A8A"/>
    <w:rsid w:val="002B4527"/>
    <w:rsid w:val="002D567F"/>
    <w:rsid w:val="002E5398"/>
    <w:rsid w:val="002E789A"/>
    <w:rsid w:val="002E78F5"/>
    <w:rsid w:val="002F1E27"/>
    <w:rsid w:val="002F5EBC"/>
    <w:rsid w:val="002F7A12"/>
    <w:rsid w:val="0031008F"/>
    <w:rsid w:val="00316CEB"/>
    <w:rsid w:val="00316D53"/>
    <w:rsid w:val="003440E5"/>
    <w:rsid w:val="00352841"/>
    <w:rsid w:val="00353C7E"/>
    <w:rsid w:val="00355168"/>
    <w:rsid w:val="00361785"/>
    <w:rsid w:val="00370522"/>
    <w:rsid w:val="003740CE"/>
    <w:rsid w:val="00385665"/>
    <w:rsid w:val="0039618A"/>
    <w:rsid w:val="003A1458"/>
    <w:rsid w:val="003B00A3"/>
    <w:rsid w:val="003B1422"/>
    <w:rsid w:val="003C6DE8"/>
    <w:rsid w:val="003D379F"/>
    <w:rsid w:val="003D51F2"/>
    <w:rsid w:val="003E378F"/>
    <w:rsid w:val="003E77D6"/>
    <w:rsid w:val="003F2054"/>
    <w:rsid w:val="003F2263"/>
    <w:rsid w:val="0041331A"/>
    <w:rsid w:val="00415B2E"/>
    <w:rsid w:val="00416811"/>
    <w:rsid w:val="00431371"/>
    <w:rsid w:val="004318D4"/>
    <w:rsid w:val="0044590C"/>
    <w:rsid w:val="004564B4"/>
    <w:rsid w:val="00466B1A"/>
    <w:rsid w:val="004813F9"/>
    <w:rsid w:val="004821C6"/>
    <w:rsid w:val="00482953"/>
    <w:rsid w:val="004B2DEB"/>
    <w:rsid w:val="004B31C2"/>
    <w:rsid w:val="004C15F5"/>
    <w:rsid w:val="004C60C2"/>
    <w:rsid w:val="004E078D"/>
    <w:rsid w:val="004E139C"/>
    <w:rsid w:val="004E25FF"/>
    <w:rsid w:val="004E3114"/>
    <w:rsid w:val="004F3B23"/>
    <w:rsid w:val="004F4748"/>
    <w:rsid w:val="00500E94"/>
    <w:rsid w:val="005138AB"/>
    <w:rsid w:val="00513E08"/>
    <w:rsid w:val="00514B37"/>
    <w:rsid w:val="005274A0"/>
    <w:rsid w:val="00532C13"/>
    <w:rsid w:val="00540896"/>
    <w:rsid w:val="00546648"/>
    <w:rsid w:val="00551A28"/>
    <w:rsid w:val="00553460"/>
    <w:rsid w:val="00573769"/>
    <w:rsid w:val="00583484"/>
    <w:rsid w:val="005948E8"/>
    <w:rsid w:val="00597B77"/>
    <w:rsid w:val="005B3ED0"/>
    <w:rsid w:val="005B60F3"/>
    <w:rsid w:val="005C3D11"/>
    <w:rsid w:val="005D0F88"/>
    <w:rsid w:val="005D3F1B"/>
    <w:rsid w:val="005E27D1"/>
    <w:rsid w:val="006047A0"/>
    <w:rsid w:val="006060F4"/>
    <w:rsid w:val="00612CF1"/>
    <w:rsid w:val="00627275"/>
    <w:rsid w:val="00633431"/>
    <w:rsid w:val="00633509"/>
    <w:rsid w:val="00635AB7"/>
    <w:rsid w:val="00643853"/>
    <w:rsid w:val="00650DA3"/>
    <w:rsid w:val="00653814"/>
    <w:rsid w:val="00662B6E"/>
    <w:rsid w:val="0066415A"/>
    <w:rsid w:val="006670B9"/>
    <w:rsid w:val="00670C2D"/>
    <w:rsid w:val="0067586F"/>
    <w:rsid w:val="006772C9"/>
    <w:rsid w:val="00686023"/>
    <w:rsid w:val="00693C83"/>
    <w:rsid w:val="00694F4B"/>
    <w:rsid w:val="00695D6B"/>
    <w:rsid w:val="006969A4"/>
    <w:rsid w:val="00697250"/>
    <w:rsid w:val="006A10C1"/>
    <w:rsid w:val="006A7D2C"/>
    <w:rsid w:val="006C3A52"/>
    <w:rsid w:val="006D518C"/>
    <w:rsid w:val="006D78DA"/>
    <w:rsid w:val="006E08B2"/>
    <w:rsid w:val="00700E34"/>
    <w:rsid w:val="00701940"/>
    <w:rsid w:val="00703554"/>
    <w:rsid w:val="00712CB4"/>
    <w:rsid w:val="0072607A"/>
    <w:rsid w:val="0072692C"/>
    <w:rsid w:val="00731A34"/>
    <w:rsid w:val="007371CA"/>
    <w:rsid w:val="007374F4"/>
    <w:rsid w:val="00741A30"/>
    <w:rsid w:val="00746C8C"/>
    <w:rsid w:val="00752B37"/>
    <w:rsid w:val="007630E3"/>
    <w:rsid w:val="00781A72"/>
    <w:rsid w:val="00785D8E"/>
    <w:rsid w:val="0078603F"/>
    <w:rsid w:val="007A635E"/>
    <w:rsid w:val="007A7144"/>
    <w:rsid w:val="007B42B5"/>
    <w:rsid w:val="007B50B5"/>
    <w:rsid w:val="007B5EF7"/>
    <w:rsid w:val="007C7B99"/>
    <w:rsid w:val="007E0971"/>
    <w:rsid w:val="00804747"/>
    <w:rsid w:val="00815143"/>
    <w:rsid w:val="0081692F"/>
    <w:rsid w:val="00821805"/>
    <w:rsid w:val="00831B94"/>
    <w:rsid w:val="00834C54"/>
    <w:rsid w:val="00841D8D"/>
    <w:rsid w:val="00852557"/>
    <w:rsid w:val="00870709"/>
    <w:rsid w:val="0087792E"/>
    <w:rsid w:val="0088199E"/>
    <w:rsid w:val="00885231"/>
    <w:rsid w:val="00891547"/>
    <w:rsid w:val="00891751"/>
    <w:rsid w:val="00894061"/>
    <w:rsid w:val="00896CE8"/>
    <w:rsid w:val="008A266E"/>
    <w:rsid w:val="008A727D"/>
    <w:rsid w:val="008A7B83"/>
    <w:rsid w:val="008C2232"/>
    <w:rsid w:val="008C45F3"/>
    <w:rsid w:val="008C7241"/>
    <w:rsid w:val="008D678B"/>
    <w:rsid w:val="008E0A36"/>
    <w:rsid w:val="008E5C44"/>
    <w:rsid w:val="008F2C8D"/>
    <w:rsid w:val="008F5DCD"/>
    <w:rsid w:val="008F5EA7"/>
    <w:rsid w:val="008F5ECB"/>
    <w:rsid w:val="008F6E68"/>
    <w:rsid w:val="00900ECB"/>
    <w:rsid w:val="009043AE"/>
    <w:rsid w:val="0090794C"/>
    <w:rsid w:val="00912670"/>
    <w:rsid w:val="009146A3"/>
    <w:rsid w:val="00916C7E"/>
    <w:rsid w:val="0092004F"/>
    <w:rsid w:val="009201C9"/>
    <w:rsid w:val="009223CA"/>
    <w:rsid w:val="009274AA"/>
    <w:rsid w:val="00934C38"/>
    <w:rsid w:val="00940B82"/>
    <w:rsid w:val="0094450E"/>
    <w:rsid w:val="009446A7"/>
    <w:rsid w:val="00952A75"/>
    <w:rsid w:val="009571DE"/>
    <w:rsid w:val="00962DFF"/>
    <w:rsid w:val="009804C5"/>
    <w:rsid w:val="00981BB1"/>
    <w:rsid w:val="009859C2"/>
    <w:rsid w:val="009A3069"/>
    <w:rsid w:val="009A4F4B"/>
    <w:rsid w:val="009B7D59"/>
    <w:rsid w:val="009C094E"/>
    <w:rsid w:val="009C3FAD"/>
    <w:rsid w:val="009D5863"/>
    <w:rsid w:val="009E2A9B"/>
    <w:rsid w:val="009E7980"/>
    <w:rsid w:val="009F1773"/>
    <w:rsid w:val="009F63BE"/>
    <w:rsid w:val="00A02CCC"/>
    <w:rsid w:val="00A05F71"/>
    <w:rsid w:val="00A061F9"/>
    <w:rsid w:val="00A062C0"/>
    <w:rsid w:val="00A142F3"/>
    <w:rsid w:val="00A268B7"/>
    <w:rsid w:val="00A268FD"/>
    <w:rsid w:val="00A346BA"/>
    <w:rsid w:val="00A35624"/>
    <w:rsid w:val="00A36A6A"/>
    <w:rsid w:val="00A46A4C"/>
    <w:rsid w:val="00A6741F"/>
    <w:rsid w:val="00A76C5C"/>
    <w:rsid w:val="00A81A4A"/>
    <w:rsid w:val="00AA2728"/>
    <w:rsid w:val="00AA6C90"/>
    <w:rsid w:val="00AB087F"/>
    <w:rsid w:val="00AB304A"/>
    <w:rsid w:val="00AB5498"/>
    <w:rsid w:val="00AC614D"/>
    <w:rsid w:val="00AD0FFC"/>
    <w:rsid w:val="00AE6727"/>
    <w:rsid w:val="00AE7BF0"/>
    <w:rsid w:val="00AF64AC"/>
    <w:rsid w:val="00AF785F"/>
    <w:rsid w:val="00B0052A"/>
    <w:rsid w:val="00B07C57"/>
    <w:rsid w:val="00B14205"/>
    <w:rsid w:val="00B146B4"/>
    <w:rsid w:val="00B20F1F"/>
    <w:rsid w:val="00B23565"/>
    <w:rsid w:val="00B26DD0"/>
    <w:rsid w:val="00B27C92"/>
    <w:rsid w:val="00B42E30"/>
    <w:rsid w:val="00B43A00"/>
    <w:rsid w:val="00B5305D"/>
    <w:rsid w:val="00B62CCD"/>
    <w:rsid w:val="00B80AB5"/>
    <w:rsid w:val="00B81629"/>
    <w:rsid w:val="00B8281A"/>
    <w:rsid w:val="00B85D36"/>
    <w:rsid w:val="00B87D45"/>
    <w:rsid w:val="00B903A9"/>
    <w:rsid w:val="00B935AF"/>
    <w:rsid w:val="00BA34C7"/>
    <w:rsid w:val="00BA40CC"/>
    <w:rsid w:val="00BA6CEA"/>
    <w:rsid w:val="00BB26DD"/>
    <w:rsid w:val="00BB2DEE"/>
    <w:rsid w:val="00BD4ECB"/>
    <w:rsid w:val="00BE1345"/>
    <w:rsid w:val="00BE3AEC"/>
    <w:rsid w:val="00BF25C0"/>
    <w:rsid w:val="00C06850"/>
    <w:rsid w:val="00C10F42"/>
    <w:rsid w:val="00C20FAC"/>
    <w:rsid w:val="00C221C8"/>
    <w:rsid w:val="00C25508"/>
    <w:rsid w:val="00C52702"/>
    <w:rsid w:val="00C71EB6"/>
    <w:rsid w:val="00C82CAC"/>
    <w:rsid w:val="00C904D1"/>
    <w:rsid w:val="00CA4498"/>
    <w:rsid w:val="00CB11F2"/>
    <w:rsid w:val="00CC511A"/>
    <w:rsid w:val="00CC64F8"/>
    <w:rsid w:val="00CD2F2F"/>
    <w:rsid w:val="00CD485A"/>
    <w:rsid w:val="00CF517A"/>
    <w:rsid w:val="00CF79B9"/>
    <w:rsid w:val="00D1291B"/>
    <w:rsid w:val="00D44FC7"/>
    <w:rsid w:val="00D5394C"/>
    <w:rsid w:val="00D57436"/>
    <w:rsid w:val="00D64D4E"/>
    <w:rsid w:val="00D66E7B"/>
    <w:rsid w:val="00D762B6"/>
    <w:rsid w:val="00D85CCA"/>
    <w:rsid w:val="00D864DA"/>
    <w:rsid w:val="00D908FF"/>
    <w:rsid w:val="00DA579B"/>
    <w:rsid w:val="00DA63ED"/>
    <w:rsid w:val="00DB4673"/>
    <w:rsid w:val="00DE064C"/>
    <w:rsid w:val="00DE262D"/>
    <w:rsid w:val="00DE6921"/>
    <w:rsid w:val="00DE785C"/>
    <w:rsid w:val="00DF7DF0"/>
    <w:rsid w:val="00E00330"/>
    <w:rsid w:val="00E10428"/>
    <w:rsid w:val="00E133BA"/>
    <w:rsid w:val="00E14676"/>
    <w:rsid w:val="00E22C49"/>
    <w:rsid w:val="00E26B98"/>
    <w:rsid w:val="00E3011E"/>
    <w:rsid w:val="00E60224"/>
    <w:rsid w:val="00E66F98"/>
    <w:rsid w:val="00E7426D"/>
    <w:rsid w:val="00E81392"/>
    <w:rsid w:val="00E85D1A"/>
    <w:rsid w:val="00E951E0"/>
    <w:rsid w:val="00EA0392"/>
    <w:rsid w:val="00EA4D8A"/>
    <w:rsid w:val="00EB09AC"/>
    <w:rsid w:val="00EB30B9"/>
    <w:rsid w:val="00EB5BBE"/>
    <w:rsid w:val="00EC3936"/>
    <w:rsid w:val="00EC4D8E"/>
    <w:rsid w:val="00ED6759"/>
    <w:rsid w:val="00EF1EA5"/>
    <w:rsid w:val="00EF4DAE"/>
    <w:rsid w:val="00EF6756"/>
    <w:rsid w:val="00F04B5A"/>
    <w:rsid w:val="00F05ABE"/>
    <w:rsid w:val="00F05DBF"/>
    <w:rsid w:val="00F067FE"/>
    <w:rsid w:val="00F10B18"/>
    <w:rsid w:val="00F14603"/>
    <w:rsid w:val="00F175DF"/>
    <w:rsid w:val="00F31013"/>
    <w:rsid w:val="00F319D1"/>
    <w:rsid w:val="00F31D96"/>
    <w:rsid w:val="00F3606B"/>
    <w:rsid w:val="00F4481D"/>
    <w:rsid w:val="00F60B02"/>
    <w:rsid w:val="00F70F34"/>
    <w:rsid w:val="00F71C5E"/>
    <w:rsid w:val="00F75238"/>
    <w:rsid w:val="00F93342"/>
    <w:rsid w:val="00F941F9"/>
    <w:rsid w:val="00F954DF"/>
    <w:rsid w:val="00F965B1"/>
    <w:rsid w:val="00FA02DB"/>
    <w:rsid w:val="00FA12A0"/>
    <w:rsid w:val="00FA6C7E"/>
    <w:rsid w:val="00FB4FB9"/>
    <w:rsid w:val="00FE3B26"/>
    <w:rsid w:val="00FE5A37"/>
    <w:rsid w:val="00FF0E75"/>
    <w:rsid w:val="00FF79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23C5B9"/>
  <w15:docId w15:val="{5D3FC008-AF8C-4962-9088-35A2F1516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24"/>
        <w:szCs w:val="24"/>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5BBE"/>
    <w:pPr>
      <w:spacing w:after="0" w:line="240" w:lineRule="auto"/>
    </w:pPr>
    <w:rPr>
      <w:rFonts w:eastAsia="Times New Roman" w:cs="Times New Roman"/>
      <w:kern w:val="0"/>
      <w:sz w:val="20"/>
      <w:szCs w:val="20"/>
      <w:lang w:eastAsia="nl-NL"/>
    </w:rPr>
  </w:style>
  <w:style w:type="paragraph" w:styleId="Kop1">
    <w:name w:val="heading 1"/>
    <w:basedOn w:val="Standaard"/>
    <w:next w:val="Standaard"/>
    <w:link w:val="Kop1Char"/>
    <w:uiPriority w:val="9"/>
    <w:qFormat/>
    <w:rsid w:val="00B935AF"/>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rPr>
  </w:style>
  <w:style w:type="paragraph" w:styleId="Kop2">
    <w:name w:val="heading 2"/>
    <w:basedOn w:val="Standaard"/>
    <w:next w:val="Standaard"/>
    <w:link w:val="Kop2Char"/>
    <w:uiPriority w:val="9"/>
    <w:semiHidden/>
    <w:unhideWhenUsed/>
    <w:qFormat/>
    <w:rsid w:val="00B935AF"/>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rPr>
  </w:style>
  <w:style w:type="paragraph" w:styleId="Kop3">
    <w:name w:val="heading 3"/>
    <w:basedOn w:val="Standaard"/>
    <w:next w:val="Standaard"/>
    <w:link w:val="Kop3Char"/>
    <w:uiPriority w:val="9"/>
    <w:semiHidden/>
    <w:unhideWhenUsed/>
    <w:qFormat/>
    <w:rsid w:val="00B935AF"/>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rPr>
  </w:style>
  <w:style w:type="paragraph" w:styleId="Kop4">
    <w:name w:val="heading 4"/>
    <w:basedOn w:val="Standaard"/>
    <w:next w:val="Standaard"/>
    <w:link w:val="Kop4Char"/>
    <w:uiPriority w:val="9"/>
    <w:semiHidden/>
    <w:unhideWhenUsed/>
    <w:qFormat/>
    <w:rsid w:val="00B935AF"/>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4"/>
      <w:szCs w:val="24"/>
      <w:lang w:eastAsia="en-US"/>
    </w:rPr>
  </w:style>
  <w:style w:type="paragraph" w:styleId="Kop5">
    <w:name w:val="heading 5"/>
    <w:basedOn w:val="Standaard"/>
    <w:next w:val="Standaard"/>
    <w:link w:val="Kop5Char"/>
    <w:uiPriority w:val="9"/>
    <w:semiHidden/>
    <w:unhideWhenUsed/>
    <w:qFormat/>
    <w:rsid w:val="00B935AF"/>
    <w:pPr>
      <w:keepNext/>
      <w:keepLines/>
      <w:spacing w:before="80" w:after="40" w:line="259" w:lineRule="auto"/>
      <w:outlineLvl w:val="4"/>
    </w:pPr>
    <w:rPr>
      <w:rFonts w:asciiTheme="minorHAnsi" w:eastAsiaTheme="majorEastAsia" w:hAnsiTheme="minorHAnsi" w:cstheme="majorBidi"/>
      <w:color w:val="0F4761" w:themeColor="accent1" w:themeShade="BF"/>
      <w:kern w:val="2"/>
      <w:sz w:val="24"/>
      <w:szCs w:val="24"/>
      <w:lang w:eastAsia="en-US"/>
    </w:rPr>
  </w:style>
  <w:style w:type="paragraph" w:styleId="Kop6">
    <w:name w:val="heading 6"/>
    <w:basedOn w:val="Standaard"/>
    <w:next w:val="Standaard"/>
    <w:link w:val="Kop6Char"/>
    <w:uiPriority w:val="9"/>
    <w:semiHidden/>
    <w:unhideWhenUsed/>
    <w:qFormat/>
    <w:rsid w:val="00B935AF"/>
    <w:pPr>
      <w:keepNext/>
      <w:keepLines/>
      <w:spacing w:before="40" w:line="259" w:lineRule="auto"/>
      <w:outlineLvl w:val="5"/>
    </w:pPr>
    <w:rPr>
      <w:rFonts w:asciiTheme="minorHAnsi" w:eastAsiaTheme="majorEastAsia" w:hAnsiTheme="minorHAnsi" w:cstheme="majorBidi"/>
      <w:i/>
      <w:iCs/>
      <w:color w:val="595959" w:themeColor="text1" w:themeTint="A6"/>
      <w:kern w:val="2"/>
      <w:sz w:val="24"/>
      <w:szCs w:val="24"/>
      <w:lang w:eastAsia="en-US"/>
    </w:rPr>
  </w:style>
  <w:style w:type="paragraph" w:styleId="Kop7">
    <w:name w:val="heading 7"/>
    <w:basedOn w:val="Standaard"/>
    <w:next w:val="Standaard"/>
    <w:link w:val="Kop7Char"/>
    <w:uiPriority w:val="9"/>
    <w:semiHidden/>
    <w:unhideWhenUsed/>
    <w:qFormat/>
    <w:rsid w:val="00B935AF"/>
    <w:pPr>
      <w:keepNext/>
      <w:keepLines/>
      <w:spacing w:before="40" w:line="259" w:lineRule="auto"/>
      <w:outlineLvl w:val="6"/>
    </w:pPr>
    <w:rPr>
      <w:rFonts w:asciiTheme="minorHAnsi" w:eastAsiaTheme="majorEastAsia" w:hAnsiTheme="minorHAnsi" w:cstheme="majorBidi"/>
      <w:color w:val="595959" w:themeColor="text1" w:themeTint="A6"/>
      <w:kern w:val="2"/>
      <w:sz w:val="24"/>
      <w:szCs w:val="24"/>
      <w:lang w:eastAsia="en-US"/>
    </w:rPr>
  </w:style>
  <w:style w:type="paragraph" w:styleId="Kop8">
    <w:name w:val="heading 8"/>
    <w:basedOn w:val="Standaard"/>
    <w:next w:val="Standaard"/>
    <w:link w:val="Kop8Char"/>
    <w:uiPriority w:val="9"/>
    <w:semiHidden/>
    <w:unhideWhenUsed/>
    <w:qFormat/>
    <w:rsid w:val="00B935AF"/>
    <w:pPr>
      <w:keepNext/>
      <w:keepLines/>
      <w:spacing w:line="259" w:lineRule="auto"/>
      <w:outlineLvl w:val="7"/>
    </w:pPr>
    <w:rPr>
      <w:rFonts w:asciiTheme="minorHAnsi" w:eastAsiaTheme="majorEastAsia" w:hAnsiTheme="minorHAnsi" w:cstheme="majorBidi"/>
      <w:i/>
      <w:iCs/>
      <w:color w:val="272727" w:themeColor="text1" w:themeTint="D8"/>
      <w:kern w:val="2"/>
      <w:sz w:val="24"/>
      <w:szCs w:val="24"/>
      <w:lang w:eastAsia="en-US"/>
    </w:rPr>
  </w:style>
  <w:style w:type="paragraph" w:styleId="Kop9">
    <w:name w:val="heading 9"/>
    <w:basedOn w:val="Standaard"/>
    <w:next w:val="Standaard"/>
    <w:link w:val="Kop9Char"/>
    <w:uiPriority w:val="9"/>
    <w:semiHidden/>
    <w:unhideWhenUsed/>
    <w:qFormat/>
    <w:rsid w:val="00B935AF"/>
    <w:pPr>
      <w:keepNext/>
      <w:keepLines/>
      <w:spacing w:line="259" w:lineRule="auto"/>
      <w:outlineLvl w:val="8"/>
    </w:pPr>
    <w:rPr>
      <w:rFonts w:asciiTheme="minorHAnsi" w:eastAsiaTheme="majorEastAsia" w:hAnsiTheme="minorHAnsi" w:cstheme="majorBidi"/>
      <w:color w:val="272727" w:themeColor="text1" w:themeTint="D8"/>
      <w:kern w:val="2"/>
      <w:sz w:val="24"/>
      <w:szCs w:val="24"/>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935A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935A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935AF"/>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B935AF"/>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B935AF"/>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B935AF"/>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B935AF"/>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B935AF"/>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B935AF"/>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B935AF"/>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TitelChar">
    <w:name w:val="Titel Char"/>
    <w:basedOn w:val="Standaardalinea-lettertype"/>
    <w:link w:val="Titel"/>
    <w:uiPriority w:val="10"/>
    <w:rsid w:val="00B935A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935A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rPr>
  </w:style>
  <w:style w:type="character" w:customStyle="1" w:styleId="OndertitelChar">
    <w:name w:val="Ondertitel Char"/>
    <w:basedOn w:val="Standaardalinea-lettertype"/>
    <w:link w:val="Ondertitel"/>
    <w:uiPriority w:val="11"/>
    <w:rsid w:val="00B935A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B935AF"/>
    <w:pPr>
      <w:spacing w:before="160" w:after="160" w:line="259" w:lineRule="auto"/>
      <w:jc w:val="center"/>
    </w:pPr>
    <w:rPr>
      <w:rFonts w:eastAsiaTheme="minorHAnsi" w:cstheme="minorBidi"/>
      <w:i/>
      <w:iCs/>
      <w:color w:val="404040" w:themeColor="text1" w:themeTint="BF"/>
      <w:kern w:val="2"/>
      <w:sz w:val="24"/>
      <w:szCs w:val="24"/>
      <w:lang w:eastAsia="en-US"/>
    </w:rPr>
  </w:style>
  <w:style w:type="character" w:customStyle="1" w:styleId="CitaatChar">
    <w:name w:val="Citaat Char"/>
    <w:basedOn w:val="Standaardalinea-lettertype"/>
    <w:link w:val="Citaat"/>
    <w:uiPriority w:val="29"/>
    <w:rsid w:val="00B935AF"/>
    <w:rPr>
      <w:i/>
      <w:iCs/>
      <w:color w:val="404040" w:themeColor="text1" w:themeTint="BF"/>
    </w:rPr>
  </w:style>
  <w:style w:type="paragraph" w:styleId="Lijstalinea">
    <w:name w:val="List Paragraph"/>
    <w:basedOn w:val="Standaard"/>
    <w:uiPriority w:val="34"/>
    <w:qFormat/>
    <w:rsid w:val="00B935AF"/>
    <w:pPr>
      <w:spacing w:after="160" w:line="259" w:lineRule="auto"/>
      <w:ind w:left="720"/>
      <w:contextualSpacing/>
    </w:pPr>
    <w:rPr>
      <w:rFonts w:eastAsiaTheme="minorHAnsi" w:cstheme="minorBidi"/>
      <w:kern w:val="2"/>
      <w:sz w:val="24"/>
      <w:szCs w:val="24"/>
      <w:lang w:eastAsia="en-US"/>
    </w:rPr>
  </w:style>
  <w:style w:type="character" w:styleId="Intensievebenadrukking">
    <w:name w:val="Intense Emphasis"/>
    <w:basedOn w:val="Standaardalinea-lettertype"/>
    <w:uiPriority w:val="21"/>
    <w:qFormat/>
    <w:rsid w:val="00B935AF"/>
    <w:rPr>
      <w:i/>
      <w:iCs/>
      <w:color w:val="0F4761" w:themeColor="accent1" w:themeShade="BF"/>
    </w:rPr>
  </w:style>
  <w:style w:type="paragraph" w:styleId="Duidelijkcitaat">
    <w:name w:val="Intense Quote"/>
    <w:basedOn w:val="Standaard"/>
    <w:next w:val="Standaard"/>
    <w:link w:val="DuidelijkcitaatChar"/>
    <w:uiPriority w:val="30"/>
    <w:qFormat/>
    <w:rsid w:val="00B935A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cstheme="minorBidi"/>
      <w:i/>
      <w:iCs/>
      <w:color w:val="0F4761" w:themeColor="accent1" w:themeShade="BF"/>
      <w:kern w:val="2"/>
      <w:sz w:val="24"/>
      <w:szCs w:val="24"/>
      <w:lang w:eastAsia="en-US"/>
    </w:rPr>
  </w:style>
  <w:style w:type="character" w:customStyle="1" w:styleId="DuidelijkcitaatChar">
    <w:name w:val="Duidelijk citaat Char"/>
    <w:basedOn w:val="Standaardalinea-lettertype"/>
    <w:link w:val="Duidelijkcitaat"/>
    <w:uiPriority w:val="30"/>
    <w:rsid w:val="00B935AF"/>
    <w:rPr>
      <w:i/>
      <w:iCs/>
      <w:color w:val="0F4761" w:themeColor="accent1" w:themeShade="BF"/>
    </w:rPr>
  </w:style>
  <w:style w:type="character" w:styleId="Intensieveverwijzing">
    <w:name w:val="Intense Reference"/>
    <w:basedOn w:val="Standaardalinea-lettertype"/>
    <w:uiPriority w:val="32"/>
    <w:qFormat/>
    <w:rsid w:val="00B935AF"/>
    <w:rPr>
      <w:b/>
      <w:bCs/>
      <w:smallCaps/>
      <w:color w:val="0F4761" w:themeColor="accent1" w:themeShade="BF"/>
      <w:spacing w:val="5"/>
    </w:rPr>
  </w:style>
  <w:style w:type="paragraph" w:styleId="Eindnoottekst">
    <w:name w:val="endnote text"/>
    <w:basedOn w:val="Standaard"/>
    <w:link w:val="EindnoottekstChar"/>
    <w:semiHidden/>
    <w:rsid w:val="008D678B"/>
  </w:style>
  <w:style w:type="character" w:customStyle="1" w:styleId="EindnoottekstChar">
    <w:name w:val="Eindnoottekst Char"/>
    <w:basedOn w:val="Standaardalinea-lettertype"/>
    <w:link w:val="Eindnoottekst"/>
    <w:semiHidden/>
    <w:rsid w:val="008D678B"/>
    <w:rPr>
      <w:rFonts w:eastAsia="Times New Roman" w:cs="Times New Roman"/>
      <w:kern w:val="0"/>
      <w:sz w:val="20"/>
      <w:szCs w:val="20"/>
      <w:lang w:eastAsia="nl-NL"/>
      <w14:ligatures w14:val="none"/>
    </w:rPr>
  </w:style>
  <w:style w:type="character" w:styleId="Eindnootmarkering">
    <w:name w:val="endnote reference"/>
    <w:basedOn w:val="Standaardalinea-lettertype"/>
    <w:semiHidden/>
    <w:rsid w:val="008D678B"/>
    <w:rPr>
      <w:vertAlign w:val="superscript"/>
    </w:rPr>
  </w:style>
  <w:style w:type="character" w:styleId="Hyperlink">
    <w:name w:val="Hyperlink"/>
    <w:basedOn w:val="Standaardalinea-lettertype"/>
    <w:unhideWhenUsed/>
    <w:rsid w:val="00352841"/>
    <w:rPr>
      <w:color w:val="0000FF"/>
      <w:u w:val="single"/>
    </w:rPr>
  </w:style>
  <w:style w:type="character" w:styleId="Nadruk">
    <w:name w:val="Emphasis"/>
    <w:basedOn w:val="Standaardalinea-lettertype"/>
    <w:uiPriority w:val="20"/>
    <w:qFormat/>
    <w:rsid w:val="00D64D4E"/>
    <w:rPr>
      <w:i/>
      <w:iCs/>
    </w:rPr>
  </w:style>
  <w:style w:type="paragraph" w:styleId="Koptekst">
    <w:name w:val="header"/>
    <w:basedOn w:val="Standaard"/>
    <w:link w:val="KoptekstChar"/>
    <w:uiPriority w:val="99"/>
    <w:unhideWhenUsed/>
    <w:rsid w:val="00D64D4E"/>
    <w:pPr>
      <w:tabs>
        <w:tab w:val="center" w:pos="4536"/>
        <w:tab w:val="right" w:pos="9072"/>
      </w:tabs>
    </w:pPr>
  </w:style>
  <w:style w:type="character" w:customStyle="1" w:styleId="KoptekstChar">
    <w:name w:val="Koptekst Char"/>
    <w:basedOn w:val="Standaardalinea-lettertype"/>
    <w:link w:val="Koptekst"/>
    <w:uiPriority w:val="99"/>
    <w:rsid w:val="00D64D4E"/>
    <w:rPr>
      <w:rFonts w:eastAsia="Times New Roman" w:cs="Times New Roman"/>
      <w:kern w:val="0"/>
      <w:sz w:val="20"/>
      <w:szCs w:val="20"/>
      <w:lang w:eastAsia="nl-NL"/>
      <w14:ligatures w14:val="none"/>
    </w:rPr>
  </w:style>
  <w:style w:type="paragraph" w:styleId="Voettekst">
    <w:name w:val="footer"/>
    <w:basedOn w:val="Standaard"/>
    <w:link w:val="VoettekstChar"/>
    <w:uiPriority w:val="99"/>
    <w:unhideWhenUsed/>
    <w:rsid w:val="00D64D4E"/>
    <w:pPr>
      <w:tabs>
        <w:tab w:val="center" w:pos="4536"/>
        <w:tab w:val="right" w:pos="9072"/>
      </w:tabs>
    </w:pPr>
  </w:style>
  <w:style w:type="character" w:customStyle="1" w:styleId="VoettekstChar">
    <w:name w:val="Voettekst Char"/>
    <w:basedOn w:val="Standaardalinea-lettertype"/>
    <w:link w:val="Voettekst"/>
    <w:uiPriority w:val="99"/>
    <w:rsid w:val="00D64D4E"/>
    <w:rPr>
      <w:rFonts w:eastAsia="Times New Roman" w:cs="Times New Roman"/>
      <w:kern w:val="0"/>
      <w:sz w:val="20"/>
      <w:szCs w:val="20"/>
      <w:lang w:eastAsia="nl-NL"/>
      <w14:ligatures w14:val="none"/>
    </w:rPr>
  </w:style>
  <w:style w:type="paragraph" w:styleId="Voetnoottekst">
    <w:name w:val="footnote text"/>
    <w:basedOn w:val="Standaard"/>
    <w:link w:val="VoetnoottekstChar"/>
    <w:unhideWhenUsed/>
    <w:rsid w:val="00597B77"/>
  </w:style>
  <w:style w:type="character" w:customStyle="1" w:styleId="VoetnoottekstChar">
    <w:name w:val="Voetnoottekst Char"/>
    <w:basedOn w:val="Standaardalinea-lettertype"/>
    <w:link w:val="Voetnoottekst"/>
    <w:rsid w:val="00597B77"/>
    <w:rPr>
      <w:rFonts w:eastAsia="Times New Roman" w:cs="Times New Roman"/>
      <w:kern w:val="0"/>
      <w:sz w:val="20"/>
      <w:szCs w:val="20"/>
      <w:lang w:eastAsia="nl-NL"/>
      <w14:ligatures w14:val="none"/>
    </w:rPr>
  </w:style>
  <w:style w:type="character" w:styleId="Voetnootmarkering">
    <w:name w:val="footnote reference"/>
    <w:basedOn w:val="Standaardalinea-lettertype"/>
    <w:uiPriority w:val="99"/>
    <w:semiHidden/>
    <w:unhideWhenUsed/>
    <w:rsid w:val="00597B77"/>
    <w:rPr>
      <w:vertAlign w:val="superscript"/>
    </w:rPr>
  </w:style>
  <w:style w:type="character" w:styleId="Onopgelostemelding">
    <w:name w:val="Unresolved Mention"/>
    <w:basedOn w:val="Standaardalinea-lettertype"/>
    <w:uiPriority w:val="99"/>
    <w:semiHidden/>
    <w:unhideWhenUsed/>
    <w:rsid w:val="00633509"/>
    <w:rPr>
      <w:color w:val="605E5C"/>
      <w:shd w:val="clear" w:color="auto" w:fill="E1DFDD"/>
    </w:rPr>
  </w:style>
  <w:style w:type="character" w:styleId="GevolgdeHyperlink">
    <w:name w:val="FollowedHyperlink"/>
    <w:basedOn w:val="Standaardalinea-lettertype"/>
    <w:uiPriority w:val="99"/>
    <w:semiHidden/>
    <w:unhideWhenUsed/>
    <w:rsid w:val="00633509"/>
    <w:rPr>
      <w:color w:val="96607D" w:themeColor="followedHyperlink"/>
      <w:u w:val="single"/>
    </w:rPr>
  </w:style>
  <w:style w:type="paragraph" w:customStyle="1" w:styleId="xmsonormal">
    <w:name w:val="x_msonormal"/>
    <w:basedOn w:val="Standaard"/>
    <w:rsid w:val="00F965B1"/>
    <w:pPr>
      <w:spacing w:before="100" w:beforeAutospacing="1" w:after="100" w:afterAutospacing="1"/>
    </w:pPr>
    <w:rPr>
      <w:rFonts w:ascii="Times New Roman" w:hAnsi="Times New Roman"/>
      <w:sz w:val="24"/>
      <w:szCs w:val="24"/>
    </w:rPr>
  </w:style>
  <w:style w:type="paragraph" w:styleId="Normaalweb">
    <w:name w:val="Normal (Web)"/>
    <w:basedOn w:val="Standaard"/>
    <w:uiPriority w:val="99"/>
    <w:semiHidden/>
    <w:unhideWhenUsed/>
    <w:rsid w:val="00042CCD"/>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7099">
      <w:bodyDiv w:val="1"/>
      <w:marLeft w:val="0"/>
      <w:marRight w:val="0"/>
      <w:marTop w:val="0"/>
      <w:marBottom w:val="0"/>
      <w:divBdr>
        <w:top w:val="none" w:sz="0" w:space="0" w:color="auto"/>
        <w:left w:val="none" w:sz="0" w:space="0" w:color="auto"/>
        <w:bottom w:val="none" w:sz="0" w:space="0" w:color="auto"/>
        <w:right w:val="none" w:sz="0" w:space="0" w:color="auto"/>
      </w:divBdr>
    </w:div>
    <w:div w:id="74399017">
      <w:bodyDiv w:val="1"/>
      <w:marLeft w:val="0"/>
      <w:marRight w:val="0"/>
      <w:marTop w:val="0"/>
      <w:marBottom w:val="0"/>
      <w:divBdr>
        <w:top w:val="none" w:sz="0" w:space="0" w:color="auto"/>
        <w:left w:val="none" w:sz="0" w:space="0" w:color="auto"/>
        <w:bottom w:val="none" w:sz="0" w:space="0" w:color="auto"/>
        <w:right w:val="none" w:sz="0" w:space="0" w:color="auto"/>
      </w:divBdr>
    </w:div>
    <w:div w:id="151216689">
      <w:bodyDiv w:val="1"/>
      <w:marLeft w:val="0"/>
      <w:marRight w:val="0"/>
      <w:marTop w:val="0"/>
      <w:marBottom w:val="0"/>
      <w:divBdr>
        <w:top w:val="none" w:sz="0" w:space="0" w:color="auto"/>
        <w:left w:val="none" w:sz="0" w:space="0" w:color="auto"/>
        <w:bottom w:val="none" w:sz="0" w:space="0" w:color="auto"/>
        <w:right w:val="none" w:sz="0" w:space="0" w:color="auto"/>
      </w:divBdr>
    </w:div>
    <w:div w:id="301666284">
      <w:bodyDiv w:val="1"/>
      <w:marLeft w:val="0"/>
      <w:marRight w:val="0"/>
      <w:marTop w:val="0"/>
      <w:marBottom w:val="0"/>
      <w:divBdr>
        <w:top w:val="none" w:sz="0" w:space="0" w:color="auto"/>
        <w:left w:val="none" w:sz="0" w:space="0" w:color="auto"/>
        <w:bottom w:val="none" w:sz="0" w:space="0" w:color="auto"/>
        <w:right w:val="none" w:sz="0" w:space="0" w:color="auto"/>
      </w:divBdr>
      <w:divsChild>
        <w:div w:id="1204556571">
          <w:marLeft w:val="0"/>
          <w:marRight w:val="0"/>
          <w:marTop w:val="0"/>
          <w:marBottom w:val="0"/>
          <w:divBdr>
            <w:top w:val="none" w:sz="0" w:space="0" w:color="auto"/>
            <w:left w:val="none" w:sz="0" w:space="0" w:color="auto"/>
            <w:bottom w:val="none" w:sz="0" w:space="0" w:color="auto"/>
            <w:right w:val="none" w:sz="0" w:space="0" w:color="auto"/>
          </w:divBdr>
        </w:div>
        <w:div w:id="1945769649">
          <w:marLeft w:val="0"/>
          <w:marRight w:val="0"/>
          <w:marTop w:val="0"/>
          <w:marBottom w:val="0"/>
          <w:divBdr>
            <w:top w:val="none" w:sz="0" w:space="0" w:color="auto"/>
            <w:left w:val="none" w:sz="0" w:space="0" w:color="auto"/>
            <w:bottom w:val="none" w:sz="0" w:space="0" w:color="auto"/>
            <w:right w:val="none" w:sz="0" w:space="0" w:color="auto"/>
          </w:divBdr>
        </w:div>
      </w:divsChild>
    </w:div>
    <w:div w:id="604920868">
      <w:bodyDiv w:val="1"/>
      <w:marLeft w:val="0"/>
      <w:marRight w:val="0"/>
      <w:marTop w:val="0"/>
      <w:marBottom w:val="0"/>
      <w:divBdr>
        <w:top w:val="none" w:sz="0" w:space="0" w:color="auto"/>
        <w:left w:val="none" w:sz="0" w:space="0" w:color="auto"/>
        <w:bottom w:val="none" w:sz="0" w:space="0" w:color="auto"/>
        <w:right w:val="none" w:sz="0" w:space="0" w:color="auto"/>
      </w:divBdr>
    </w:div>
    <w:div w:id="660431136">
      <w:bodyDiv w:val="1"/>
      <w:marLeft w:val="0"/>
      <w:marRight w:val="0"/>
      <w:marTop w:val="0"/>
      <w:marBottom w:val="0"/>
      <w:divBdr>
        <w:top w:val="none" w:sz="0" w:space="0" w:color="auto"/>
        <w:left w:val="none" w:sz="0" w:space="0" w:color="auto"/>
        <w:bottom w:val="none" w:sz="0" w:space="0" w:color="auto"/>
        <w:right w:val="none" w:sz="0" w:space="0" w:color="auto"/>
      </w:divBdr>
      <w:divsChild>
        <w:div w:id="1968076475">
          <w:marLeft w:val="0"/>
          <w:marRight w:val="0"/>
          <w:marTop w:val="0"/>
          <w:marBottom w:val="0"/>
          <w:divBdr>
            <w:top w:val="none" w:sz="0" w:space="0" w:color="auto"/>
            <w:left w:val="none" w:sz="0" w:space="0" w:color="auto"/>
            <w:bottom w:val="none" w:sz="0" w:space="0" w:color="auto"/>
            <w:right w:val="none" w:sz="0" w:space="0" w:color="auto"/>
          </w:divBdr>
        </w:div>
        <w:div w:id="357046098">
          <w:marLeft w:val="0"/>
          <w:marRight w:val="0"/>
          <w:marTop w:val="0"/>
          <w:marBottom w:val="0"/>
          <w:divBdr>
            <w:top w:val="none" w:sz="0" w:space="0" w:color="auto"/>
            <w:left w:val="none" w:sz="0" w:space="0" w:color="auto"/>
            <w:bottom w:val="none" w:sz="0" w:space="0" w:color="auto"/>
            <w:right w:val="none" w:sz="0" w:space="0" w:color="auto"/>
          </w:divBdr>
        </w:div>
      </w:divsChild>
    </w:div>
    <w:div w:id="769467100">
      <w:bodyDiv w:val="1"/>
      <w:marLeft w:val="0"/>
      <w:marRight w:val="0"/>
      <w:marTop w:val="0"/>
      <w:marBottom w:val="0"/>
      <w:divBdr>
        <w:top w:val="none" w:sz="0" w:space="0" w:color="auto"/>
        <w:left w:val="none" w:sz="0" w:space="0" w:color="auto"/>
        <w:bottom w:val="none" w:sz="0" w:space="0" w:color="auto"/>
        <w:right w:val="none" w:sz="0" w:space="0" w:color="auto"/>
      </w:divBdr>
      <w:divsChild>
        <w:div w:id="151261203">
          <w:marLeft w:val="0"/>
          <w:marRight w:val="0"/>
          <w:marTop w:val="0"/>
          <w:marBottom w:val="0"/>
          <w:divBdr>
            <w:top w:val="none" w:sz="0" w:space="0" w:color="auto"/>
            <w:left w:val="none" w:sz="0" w:space="0" w:color="auto"/>
            <w:bottom w:val="none" w:sz="0" w:space="0" w:color="auto"/>
            <w:right w:val="none" w:sz="0" w:space="0" w:color="auto"/>
          </w:divBdr>
        </w:div>
      </w:divsChild>
    </w:div>
    <w:div w:id="936988371">
      <w:bodyDiv w:val="1"/>
      <w:marLeft w:val="0"/>
      <w:marRight w:val="0"/>
      <w:marTop w:val="0"/>
      <w:marBottom w:val="0"/>
      <w:divBdr>
        <w:top w:val="none" w:sz="0" w:space="0" w:color="auto"/>
        <w:left w:val="none" w:sz="0" w:space="0" w:color="auto"/>
        <w:bottom w:val="none" w:sz="0" w:space="0" w:color="auto"/>
        <w:right w:val="none" w:sz="0" w:space="0" w:color="auto"/>
      </w:divBdr>
    </w:div>
    <w:div w:id="1136410142">
      <w:bodyDiv w:val="1"/>
      <w:marLeft w:val="0"/>
      <w:marRight w:val="0"/>
      <w:marTop w:val="0"/>
      <w:marBottom w:val="0"/>
      <w:divBdr>
        <w:top w:val="none" w:sz="0" w:space="0" w:color="auto"/>
        <w:left w:val="none" w:sz="0" w:space="0" w:color="auto"/>
        <w:bottom w:val="none" w:sz="0" w:space="0" w:color="auto"/>
        <w:right w:val="none" w:sz="0" w:space="0" w:color="auto"/>
      </w:divBdr>
    </w:div>
    <w:div w:id="1394814536">
      <w:bodyDiv w:val="1"/>
      <w:marLeft w:val="0"/>
      <w:marRight w:val="0"/>
      <w:marTop w:val="0"/>
      <w:marBottom w:val="0"/>
      <w:divBdr>
        <w:top w:val="none" w:sz="0" w:space="0" w:color="auto"/>
        <w:left w:val="none" w:sz="0" w:space="0" w:color="auto"/>
        <w:bottom w:val="none" w:sz="0" w:space="0" w:color="auto"/>
        <w:right w:val="none" w:sz="0" w:space="0" w:color="auto"/>
      </w:divBdr>
      <w:divsChild>
        <w:div w:id="1234320747">
          <w:marLeft w:val="0"/>
          <w:marRight w:val="0"/>
          <w:marTop w:val="0"/>
          <w:marBottom w:val="0"/>
          <w:divBdr>
            <w:top w:val="none" w:sz="0" w:space="0" w:color="auto"/>
            <w:left w:val="none" w:sz="0" w:space="0" w:color="auto"/>
            <w:bottom w:val="none" w:sz="0" w:space="0" w:color="auto"/>
            <w:right w:val="none" w:sz="0" w:space="0" w:color="auto"/>
          </w:divBdr>
          <w:divsChild>
            <w:div w:id="1998996390">
              <w:marLeft w:val="0"/>
              <w:marRight w:val="0"/>
              <w:marTop w:val="0"/>
              <w:marBottom w:val="0"/>
              <w:divBdr>
                <w:top w:val="none" w:sz="0" w:space="0" w:color="auto"/>
                <w:left w:val="none" w:sz="0" w:space="0" w:color="auto"/>
                <w:bottom w:val="none" w:sz="0" w:space="0" w:color="auto"/>
                <w:right w:val="none" w:sz="0" w:space="0" w:color="auto"/>
              </w:divBdr>
              <w:divsChild>
                <w:div w:id="85931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203807">
          <w:marLeft w:val="0"/>
          <w:marRight w:val="0"/>
          <w:marTop w:val="0"/>
          <w:marBottom w:val="0"/>
          <w:divBdr>
            <w:top w:val="none" w:sz="0" w:space="0" w:color="auto"/>
            <w:left w:val="none" w:sz="0" w:space="0" w:color="auto"/>
            <w:bottom w:val="none" w:sz="0" w:space="0" w:color="auto"/>
            <w:right w:val="none" w:sz="0" w:space="0" w:color="auto"/>
          </w:divBdr>
          <w:divsChild>
            <w:div w:id="1070151563">
              <w:marLeft w:val="0"/>
              <w:marRight w:val="0"/>
              <w:marTop w:val="0"/>
              <w:marBottom w:val="0"/>
              <w:divBdr>
                <w:top w:val="none" w:sz="0" w:space="0" w:color="auto"/>
                <w:left w:val="none" w:sz="0" w:space="0" w:color="auto"/>
                <w:bottom w:val="none" w:sz="0" w:space="0" w:color="auto"/>
                <w:right w:val="none" w:sz="0" w:space="0" w:color="auto"/>
              </w:divBdr>
              <w:divsChild>
                <w:div w:id="203380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944318">
          <w:marLeft w:val="0"/>
          <w:marRight w:val="0"/>
          <w:marTop w:val="0"/>
          <w:marBottom w:val="0"/>
          <w:divBdr>
            <w:top w:val="none" w:sz="0" w:space="0" w:color="auto"/>
            <w:left w:val="none" w:sz="0" w:space="0" w:color="auto"/>
            <w:bottom w:val="none" w:sz="0" w:space="0" w:color="auto"/>
            <w:right w:val="none" w:sz="0" w:space="0" w:color="auto"/>
          </w:divBdr>
          <w:divsChild>
            <w:div w:id="375857314">
              <w:marLeft w:val="0"/>
              <w:marRight w:val="0"/>
              <w:marTop w:val="0"/>
              <w:marBottom w:val="0"/>
              <w:divBdr>
                <w:top w:val="none" w:sz="0" w:space="0" w:color="auto"/>
                <w:left w:val="none" w:sz="0" w:space="0" w:color="auto"/>
                <w:bottom w:val="none" w:sz="0" w:space="0" w:color="auto"/>
                <w:right w:val="none" w:sz="0" w:space="0" w:color="auto"/>
              </w:divBdr>
              <w:divsChild>
                <w:div w:id="41290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668292">
      <w:bodyDiv w:val="1"/>
      <w:marLeft w:val="0"/>
      <w:marRight w:val="0"/>
      <w:marTop w:val="0"/>
      <w:marBottom w:val="0"/>
      <w:divBdr>
        <w:top w:val="none" w:sz="0" w:space="0" w:color="auto"/>
        <w:left w:val="none" w:sz="0" w:space="0" w:color="auto"/>
        <w:bottom w:val="none" w:sz="0" w:space="0" w:color="auto"/>
        <w:right w:val="none" w:sz="0" w:space="0" w:color="auto"/>
      </w:divBdr>
    </w:div>
    <w:div w:id="1646274035">
      <w:bodyDiv w:val="1"/>
      <w:marLeft w:val="0"/>
      <w:marRight w:val="0"/>
      <w:marTop w:val="0"/>
      <w:marBottom w:val="0"/>
      <w:divBdr>
        <w:top w:val="none" w:sz="0" w:space="0" w:color="auto"/>
        <w:left w:val="none" w:sz="0" w:space="0" w:color="auto"/>
        <w:bottom w:val="none" w:sz="0" w:space="0" w:color="auto"/>
        <w:right w:val="none" w:sz="0" w:space="0" w:color="auto"/>
      </w:divBdr>
    </w:div>
    <w:div w:id="1785542128">
      <w:bodyDiv w:val="1"/>
      <w:marLeft w:val="0"/>
      <w:marRight w:val="0"/>
      <w:marTop w:val="0"/>
      <w:marBottom w:val="0"/>
      <w:divBdr>
        <w:top w:val="none" w:sz="0" w:space="0" w:color="auto"/>
        <w:left w:val="none" w:sz="0" w:space="0" w:color="auto"/>
        <w:bottom w:val="none" w:sz="0" w:space="0" w:color="auto"/>
        <w:right w:val="none" w:sz="0" w:space="0" w:color="auto"/>
      </w:divBdr>
    </w:div>
    <w:div w:id="1806505953">
      <w:bodyDiv w:val="1"/>
      <w:marLeft w:val="0"/>
      <w:marRight w:val="0"/>
      <w:marTop w:val="0"/>
      <w:marBottom w:val="0"/>
      <w:divBdr>
        <w:top w:val="none" w:sz="0" w:space="0" w:color="auto"/>
        <w:left w:val="none" w:sz="0" w:space="0" w:color="auto"/>
        <w:bottom w:val="none" w:sz="0" w:space="0" w:color="auto"/>
        <w:right w:val="none" w:sz="0" w:space="0" w:color="auto"/>
      </w:divBdr>
    </w:div>
    <w:div w:id="1814180687">
      <w:bodyDiv w:val="1"/>
      <w:marLeft w:val="0"/>
      <w:marRight w:val="0"/>
      <w:marTop w:val="0"/>
      <w:marBottom w:val="0"/>
      <w:divBdr>
        <w:top w:val="none" w:sz="0" w:space="0" w:color="auto"/>
        <w:left w:val="none" w:sz="0" w:space="0" w:color="auto"/>
        <w:bottom w:val="none" w:sz="0" w:space="0" w:color="auto"/>
        <w:right w:val="none" w:sz="0" w:space="0" w:color="auto"/>
      </w:divBdr>
    </w:div>
    <w:div w:id="1941640350">
      <w:bodyDiv w:val="1"/>
      <w:marLeft w:val="0"/>
      <w:marRight w:val="0"/>
      <w:marTop w:val="0"/>
      <w:marBottom w:val="0"/>
      <w:divBdr>
        <w:top w:val="none" w:sz="0" w:space="0" w:color="auto"/>
        <w:left w:val="none" w:sz="0" w:space="0" w:color="auto"/>
        <w:bottom w:val="none" w:sz="0" w:space="0" w:color="auto"/>
        <w:right w:val="none" w:sz="0" w:space="0" w:color="auto"/>
      </w:divBdr>
      <w:divsChild>
        <w:div w:id="664166265">
          <w:marLeft w:val="0"/>
          <w:marRight w:val="180"/>
          <w:marTop w:val="0"/>
          <w:marBottom w:val="0"/>
          <w:divBdr>
            <w:top w:val="none" w:sz="0" w:space="0" w:color="auto"/>
            <w:left w:val="none" w:sz="0" w:space="0" w:color="auto"/>
            <w:bottom w:val="none" w:sz="0" w:space="0" w:color="auto"/>
            <w:right w:val="none" w:sz="0" w:space="0" w:color="auto"/>
          </w:divBdr>
        </w:div>
        <w:div w:id="2042128948">
          <w:marLeft w:val="0"/>
          <w:marRight w:val="0"/>
          <w:marTop w:val="0"/>
          <w:marBottom w:val="30"/>
          <w:divBdr>
            <w:top w:val="none" w:sz="0" w:space="0" w:color="auto"/>
            <w:left w:val="none" w:sz="0" w:space="0" w:color="auto"/>
            <w:bottom w:val="none" w:sz="0" w:space="0" w:color="auto"/>
            <w:right w:val="none" w:sz="0" w:space="0" w:color="auto"/>
          </w:divBdr>
          <w:divsChild>
            <w:div w:id="14235141">
              <w:marLeft w:val="0"/>
              <w:marRight w:val="0"/>
              <w:marTop w:val="48"/>
              <w:marBottom w:val="48"/>
              <w:divBdr>
                <w:top w:val="none" w:sz="0" w:space="0" w:color="auto"/>
                <w:left w:val="none" w:sz="0" w:space="0" w:color="auto"/>
                <w:bottom w:val="none" w:sz="0" w:space="0" w:color="auto"/>
                <w:right w:val="none" w:sz="0" w:space="0" w:color="auto"/>
              </w:divBdr>
            </w:div>
            <w:div w:id="1222864670">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20820966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ticasdahistoria.pt/article/view/45614/3161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https://thedecisionlab.com/biases/survivorship-bia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066CE-58E6-41FE-BEAC-D15AD902C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10</Pages>
  <Words>4516</Words>
  <Characters>24840</Characters>
  <Application>Microsoft Office Word</Application>
  <DocSecurity>0</DocSecurity>
  <Lines>207</Lines>
  <Paragraphs>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Ketelaar</dc:creator>
  <cp:keywords/>
  <dc:description/>
  <cp:lastModifiedBy>Eric Ketelaar</cp:lastModifiedBy>
  <cp:revision>10</cp:revision>
  <cp:lastPrinted>2024-05-27T07:19:00Z</cp:lastPrinted>
  <dcterms:created xsi:type="dcterms:W3CDTF">2024-11-10T15:00:00Z</dcterms:created>
  <dcterms:modified xsi:type="dcterms:W3CDTF">2026-05-05T09:38:00Z</dcterms:modified>
</cp:coreProperties>
</file>