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5753" w14:textId="615D1A82" w:rsidR="00F22643" w:rsidRDefault="00F22643" w:rsidP="007B7128">
      <w:pPr>
        <w:pStyle w:val="Kop3"/>
      </w:pPr>
      <w:r>
        <w:t>Opening</w:t>
      </w:r>
    </w:p>
    <w:p w14:paraId="1FD885A8" w14:textId="38D92631" w:rsidR="00DE0C43" w:rsidRDefault="00322749" w:rsidP="00DE0C43">
      <w:pPr>
        <w:pStyle w:val="Lijstalinea"/>
        <w:numPr>
          <w:ilvl w:val="0"/>
          <w:numId w:val="20"/>
        </w:numPr>
      </w:pPr>
      <w:r>
        <w:t>De voorzitter opent de vergadering en heet de gasten welkom</w:t>
      </w:r>
      <w:r w:rsidR="0098578E">
        <w:t xml:space="preserve">. </w:t>
      </w:r>
      <w:r w:rsidR="008E0441">
        <w:t xml:space="preserve">Twee </w:t>
      </w:r>
      <w:r w:rsidR="002971B7">
        <w:t>collega expert</w:t>
      </w:r>
      <w:r w:rsidR="008E0441">
        <w:t>s</w:t>
      </w:r>
      <w:r w:rsidR="002971B7">
        <w:t xml:space="preserve"> van het NA sluit</w:t>
      </w:r>
      <w:r w:rsidR="008E0441">
        <w:t>en aan</w:t>
      </w:r>
      <w:r w:rsidR="002971B7">
        <w:t xml:space="preserve"> bij de vergadering. </w:t>
      </w:r>
    </w:p>
    <w:p w14:paraId="5A260FE7" w14:textId="3FDD9646" w:rsidR="003E647C" w:rsidRDefault="00DE0C43" w:rsidP="00DE0C43">
      <w:pPr>
        <w:pStyle w:val="Lijstalinea"/>
        <w:numPr>
          <w:ilvl w:val="0"/>
          <w:numId w:val="20"/>
        </w:numPr>
      </w:pPr>
      <w:r>
        <w:t>Bespreekstukken van deze vergadering zijn</w:t>
      </w:r>
      <w:r w:rsidR="008E0441">
        <w:t xml:space="preserve"> de</w:t>
      </w:r>
      <w:r>
        <w:t xml:space="preserve"> </w:t>
      </w:r>
      <w:r w:rsidR="003D0774">
        <w:t xml:space="preserve">Startpagina, </w:t>
      </w:r>
      <w:r w:rsidR="008E0441">
        <w:t xml:space="preserve">de Module </w:t>
      </w:r>
      <w:r>
        <w:t>I</w:t>
      </w:r>
      <w:r w:rsidR="003D0774">
        <w:t>nleiding</w:t>
      </w:r>
      <w:r w:rsidR="008E0441">
        <w:t xml:space="preserve"> op Waardering en Selectie</w:t>
      </w:r>
      <w:r w:rsidR="003D0774">
        <w:t xml:space="preserve"> en </w:t>
      </w:r>
      <w:r>
        <w:t xml:space="preserve">de </w:t>
      </w:r>
      <w:r w:rsidR="008E0441">
        <w:t>M</w:t>
      </w:r>
      <w:r w:rsidR="003D0774">
        <w:t xml:space="preserve">odule </w:t>
      </w:r>
      <w:r w:rsidR="008E0441">
        <w:t>R</w:t>
      </w:r>
      <w:r w:rsidR="003D0774">
        <w:t>ollen en organisatie</w:t>
      </w:r>
      <w:r>
        <w:t>.</w:t>
      </w:r>
      <w:r w:rsidR="00AF2B7E">
        <w:t xml:space="preserve"> De beheerleden hebben vooraf commentaar ingediend. </w:t>
      </w:r>
    </w:p>
    <w:p w14:paraId="4DEFC7C1" w14:textId="1A4B1A70" w:rsidR="00392C8F" w:rsidRDefault="00392C8F" w:rsidP="003E647C">
      <w:pPr>
        <w:pStyle w:val="Kop3"/>
      </w:pPr>
      <w:r>
        <w:t>Inhoudelijke bespreking</w:t>
      </w:r>
      <w:r w:rsidR="0098578E">
        <w:t xml:space="preserve"> </w:t>
      </w:r>
      <w:r w:rsidR="00BF14DC">
        <w:t>stukken</w:t>
      </w:r>
    </w:p>
    <w:p w14:paraId="6F6C8562" w14:textId="77777777" w:rsidR="00BF14DC" w:rsidRDefault="00BF14DC" w:rsidP="00BF14DC"/>
    <w:p w14:paraId="5E585641" w14:textId="5873008A" w:rsidR="00BF14DC" w:rsidRPr="00AF2B7E" w:rsidRDefault="00BF14DC" w:rsidP="00BF14DC">
      <w:pPr>
        <w:rPr>
          <w:u w:val="single"/>
        </w:rPr>
      </w:pPr>
      <w:r w:rsidRPr="00AF2B7E">
        <w:rPr>
          <w:u w:val="single"/>
        </w:rPr>
        <w:t>Startpagina</w:t>
      </w:r>
    </w:p>
    <w:p w14:paraId="3F62E4F8" w14:textId="261DBDC2" w:rsidR="003E647C" w:rsidRDefault="00BF14DC" w:rsidP="003E647C">
      <w:pPr>
        <w:pStyle w:val="Lijstalinea"/>
        <w:numPr>
          <w:ilvl w:val="0"/>
          <w:numId w:val="20"/>
        </w:numPr>
      </w:pPr>
      <w:r>
        <w:t>Vooral gekeken wat</w:t>
      </w:r>
      <w:r w:rsidR="004033AC">
        <w:t xml:space="preserve"> wordt aangepast op basis van de nieuwe Archiefwet. </w:t>
      </w:r>
      <w:r>
        <w:t>Overal</w:t>
      </w:r>
      <w:r w:rsidR="008E0441">
        <w:t xml:space="preserve"> selectielijst vervangen door</w:t>
      </w:r>
      <w:r>
        <w:t xml:space="preserve"> </w:t>
      </w:r>
      <w:r w:rsidR="008E0441">
        <w:t>s</w:t>
      </w:r>
      <w:r>
        <w:t>electiebesluit.</w:t>
      </w:r>
    </w:p>
    <w:p w14:paraId="51D8B84C" w14:textId="46ADF634" w:rsidR="003E647C" w:rsidRDefault="008E0441" w:rsidP="00BF14DC">
      <w:pPr>
        <w:pStyle w:val="Lijstalinea"/>
        <w:numPr>
          <w:ilvl w:val="0"/>
          <w:numId w:val="20"/>
        </w:numPr>
      </w:pPr>
      <w:r>
        <w:t>Verwijzingen naar</w:t>
      </w:r>
      <w:r w:rsidR="00C85E22">
        <w:t xml:space="preserve"> </w:t>
      </w:r>
      <w:r w:rsidR="00BF14DC">
        <w:t>artikelen</w:t>
      </w:r>
      <w:r>
        <w:t xml:space="preserve"> in de nieuwe Archiefwet en het nieuwe Archiefbesluit</w:t>
      </w:r>
      <w:r w:rsidR="00BF14DC">
        <w:t xml:space="preserve"> worden nog doorgenomen wanneer de </w:t>
      </w:r>
      <w:r>
        <w:t xml:space="preserve">tekst van het Archiefbesluit </w:t>
      </w:r>
      <w:r w:rsidR="00BF14DC">
        <w:t xml:space="preserve">definitief </w:t>
      </w:r>
      <w:r>
        <w:t>is</w:t>
      </w:r>
      <w:r w:rsidR="00BF14DC">
        <w:t>.</w:t>
      </w:r>
    </w:p>
    <w:p w14:paraId="2052A356" w14:textId="144ABE97" w:rsidR="003E647C" w:rsidRDefault="00BF14DC" w:rsidP="003E647C">
      <w:pPr>
        <w:rPr>
          <w:u w:val="single"/>
        </w:rPr>
      </w:pPr>
      <w:r w:rsidRPr="00BF14DC">
        <w:rPr>
          <w:u w:val="single"/>
        </w:rPr>
        <w:t>Inleiding</w:t>
      </w:r>
    </w:p>
    <w:p w14:paraId="135167F7" w14:textId="02D8099D" w:rsidR="00BF14DC" w:rsidRDefault="00C60781" w:rsidP="00BF14DC">
      <w:pPr>
        <w:pStyle w:val="Lijstalinea"/>
        <w:numPr>
          <w:ilvl w:val="0"/>
          <w:numId w:val="20"/>
        </w:numPr>
      </w:pPr>
      <w:r w:rsidRPr="00C60781">
        <w:t xml:space="preserve">De beschreven geschiedenis komt beter tot </w:t>
      </w:r>
      <w:r w:rsidR="008E0441">
        <w:t>haar</w:t>
      </w:r>
      <w:r w:rsidR="008E0441" w:rsidRPr="00C60781">
        <w:t xml:space="preserve"> </w:t>
      </w:r>
      <w:r w:rsidRPr="00C60781">
        <w:t xml:space="preserve">recht </w:t>
      </w:r>
      <w:r>
        <w:t xml:space="preserve">op een andere plek dan de inleiding of als bijlage. In volgende beheerronde meenemen. </w:t>
      </w:r>
      <w:r w:rsidR="00662A07">
        <w:t xml:space="preserve">Of een inhoudsopgave opnemen. </w:t>
      </w:r>
    </w:p>
    <w:p w14:paraId="68800724" w14:textId="6C1AFD50" w:rsidR="00662A07" w:rsidRDefault="00131BB4" w:rsidP="00BF14DC">
      <w:pPr>
        <w:pStyle w:val="Lijstalinea"/>
        <w:numPr>
          <w:ilvl w:val="0"/>
          <w:numId w:val="20"/>
        </w:numPr>
      </w:pPr>
      <w:r>
        <w:t>Aansluitend</w:t>
      </w:r>
      <w:r w:rsidR="00DF4D0A">
        <w:t xml:space="preserve"> kan je een was-wordt-tabel maken met Archiefwet 1995 en Archief 2026.</w:t>
      </w:r>
    </w:p>
    <w:p w14:paraId="128D47CA" w14:textId="14EDE26C" w:rsidR="00131BB4" w:rsidRDefault="00131BB4" w:rsidP="00BF14DC">
      <w:pPr>
        <w:pStyle w:val="Lijstalinea"/>
        <w:numPr>
          <w:ilvl w:val="0"/>
          <w:numId w:val="20"/>
        </w:numPr>
      </w:pPr>
      <w:r>
        <w:t xml:space="preserve">Bij </w:t>
      </w:r>
      <w:r w:rsidR="003B050C">
        <w:t>‘O</w:t>
      </w:r>
      <w:r>
        <w:t>rganisatiebelang</w:t>
      </w:r>
      <w:r w:rsidR="003B050C">
        <w:t>’ het woord</w:t>
      </w:r>
      <w:r>
        <w:t xml:space="preserve"> ‘kunnen’</w:t>
      </w:r>
      <w:r w:rsidR="003B050C">
        <w:t xml:space="preserve"> </w:t>
      </w:r>
      <w:r w:rsidR="002D6A5F">
        <w:t xml:space="preserve">niet </w:t>
      </w:r>
      <w:r w:rsidR="003B050C">
        <w:t>toevoegen voor</w:t>
      </w:r>
      <w:r>
        <w:t xml:space="preserve"> uitvoeren van hun taken </w:t>
      </w:r>
      <w:proofErr w:type="spellStart"/>
      <w:r>
        <w:t>ipv</w:t>
      </w:r>
      <w:proofErr w:type="spellEnd"/>
      <w:r>
        <w:t xml:space="preserve"> </w:t>
      </w:r>
      <w:r w:rsidR="00AF2B7E">
        <w:t>‘</w:t>
      </w:r>
      <w:r>
        <w:t>uitvoeren</w:t>
      </w:r>
      <w:r w:rsidR="00AF2B7E">
        <w:t>’</w:t>
      </w:r>
      <w:r>
        <w:t xml:space="preserve">. Formulering </w:t>
      </w:r>
      <w:r w:rsidR="002D6A5F">
        <w:t xml:space="preserve">dus niet </w:t>
      </w:r>
      <w:r>
        <w:t>aanpassen.</w:t>
      </w:r>
    </w:p>
    <w:p w14:paraId="3ED83277" w14:textId="34F585CE" w:rsidR="00AF2B7E" w:rsidRDefault="008E0441" w:rsidP="00BF14DC">
      <w:pPr>
        <w:pStyle w:val="Lijstalinea"/>
        <w:numPr>
          <w:ilvl w:val="0"/>
          <w:numId w:val="20"/>
        </w:numPr>
      </w:pPr>
      <w:r>
        <w:t>Bij het doorvoeren van de wijzigingen is dicht bij de tekst van het Archiefbesluit en de nota van toelichting gebleven.</w:t>
      </w:r>
      <w:r w:rsidR="00AF2B7E">
        <w:t xml:space="preserve"> Verwijzing naar journalistiek onderzoek in belang voor controle democratie, moet worden </w:t>
      </w:r>
      <w:r w:rsidR="00DF0A90">
        <w:t>toegevoegd</w:t>
      </w:r>
      <w:r w:rsidR="00AF2B7E">
        <w:t>.</w:t>
      </w:r>
    </w:p>
    <w:p w14:paraId="40E52B5F" w14:textId="4A1B0B66" w:rsidR="00AF2B7E" w:rsidRDefault="00AF2B7E" w:rsidP="00BF14DC">
      <w:pPr>
        <w:pStyle w:val="Lijstalinea"/>
        <w:numPr>
          <w:ilvl w:val="0"/>
          <w:numId w:val="20"/>
        </w:numPr>
      </w:pPr>
      <w:r>
        <w:lastRenderedPageBreak/>
        <w:t xml:space="preserve">Onder </w:t>
      </w:r>
      <w:r w:rsidR="003B050C">
        <w:t>‘E</w:t>
      </w:r>
      <w:r>
        <w:t>rfgoedbelang</w:t>
      </w:r>
      <w:r w:rsidR="003B050C">
        <w:t>’</w:t>
      </w:r>
      <w:r>
        <w:t xml:space="preserve"> </w:t>
      </w:r>
      <w:r w:rsidR="008E0441">
        <w:t xml:space="preserve">niet het verschil tussen de oude en de nieuwe </w:t>
      </w:r>
      <w:r>
        <w:t>overbrenging</w:t>
      </w:r>
      <w:r w:rsidR="008E0441">
        <w:t>s</w:t>
      </w:r>
      <w:r>
        <w:t>termijnen toelichten.</w:t>
      </w:r>
      <w:r w:rsidR="003B050C">
        <w:t xml:space="preserve"> Of eventueel in een bijzin.</w:t>
      </w:r>
    </w:p>
    <w:p w14:paraId="2CD22534" w14:textId="06C7BE5E" w:rsidR="00AF2B7E" w:rsidRDefault="00852394" w:rsidP="00BF14DC">
      <w:pPr>
        <w:pStyle w:val="Lijstalinea"/>
        <w:numPr>
          <w:ilvl w:val="0"/>
          <w:numId w:val="20"/>
        </w:numPr>
      </w:pPr>
      <w:r>
        <w:t>Acquisitie</w:t>
      </w:r>
      <w:r w:rsidR="00AE172F">
        <w:t>profiel gemeente</w:t>
      </w:r>
    </w:p>
    <w:p w14:paraId="097723A3" w14:textId="0A91378D" w:rsidR="00AE172F" w:rsidRDefault="00C95145" w:rsidP="00BF14DC">
      <w:pPr>
        <w:pStyle w:val="Lijstalinea"/>
        <w:numPr>
          <w:ilvl w:val="0"/>
          <w:numId w:val="20"/>
        </w:numPr>
      </w:pPr>
      <w:r>
        <w:t>‘</w:t>
      </w:r>
      <w:r w:rsidR="00AE172F">
        <w:t>Rijksarchiefbewaarplaats</w:t>
      </w:r>
      <w:r>
        <w:t>’</w:t>
      </w:r>
      <w:r w:rsidR="00AE172F">
        <w:t xml:space="preserve"> in de provincie. Het rijk treedt uit de G</w:t>
      </w:r>
      <w:r w:rsidR="00DF0A90">
        <w:t xml:space="preserve">emeenschappelijke </w:t>
      </w:r>
      <w:r w:rsidR="00AE172F">
        <w:t>R</w:t>
      </w:r>
      <w:r w:rsidR="00DF0A90">
        <w:t>egeling</w:t>
      </w:r>
      <w:r w:rsidR="00AE172F">
        <w:t>. Al het digitale gaat naar</w:t>
      </w:r>
      <w:r w:rsidR="00DF0A90">
        <w:t xml:space="preserve">  e-depot</w:t>
      </w:r>
      <w:r w:rsidR="00AE172F">
        <w:t xml:space="preserve"> NA. Er blijven </w:t>
      </w:r>
      <w:proofErr w:type="spellStart"/>
      <w:r w:rsidR="00AE172F">
        <w:t>RHC’s</w:t>
      </w:r>
      <w:proofErr w:type="spellEnd"/>
      <w:r w:rsidR="00AE172F">
        <w:t xml:space="preserve"> in de provincie.</w:t>
      </w:r>
      <w:r>
        <w:t xml:space="preserve"> Wordt uitgezocht.</w:t>
      </w:r>
    </w:p>
    <w:p w14:paraId="429AA49F" w14:textId="037D6687" w:rsidR="00C95145" w:rsidRDefault="00C95145" w:rsidP="00BF14DC">
      <w:pPr>
        <w:pStyle w:val="Lijstalinea"/>
        <w:numPr>
          <w:ilvl w:val="0"/>
          <w:numId w:val="20"/>
        </w:numPr>
      </w:pPr>
      <w:r>
        <w:t xml:space="preserve">Waardering en Selectie in enkelvoud of meervoud gebruiken? Twee afzonderlijke processen, dus meervoud grammaticaal correcter. </w:t>
      </w:r>
    </w:p>
    <w:p w14:paraId="20042BB8" w14:textId="7BE327E7" w:rsidR="00C95145" w:rsidRDefault="00F07C02" w:rsidP="00BF14DC">
      <w:pPr>
        <w:pStyle w:val="Lijstalinea"/>
        <w:numPr>
          <w:ilvl w:val="0"/>
          <w:numId w:val="20"/>
        </w:numPr>
      </w:pPr>
      <w:r>
        <w:t>Bij</w:t>
      </w:r>
      <w:r w:rsidR="00D50BCB">
        <w:t xml:space="preserve"> het onderdeel over de </w:t>
      </w:r>
      <w:r>
        <w:t>geschiedenis: d</w:t>
      </w:r>
      <w:r w:rsidR="00852394">
        <w:t>e term selectielijst (onderaan pag</w:t>
      </w:r>
      <w:r w:rsidR="00A153E6">
        <w:t>ina</w:t>
      </w:r>
      <w:r w:rsidR="00852394">
        <w:t xml:space="preserve"> 7) wordt gebruikt in de </w:t>
      </w:r>
      <w:r>
        <w:t>historische</w:t>
      </w:r>
      <w:r w:rsidR="00852394">
        <w:t xml:space="preserve"> context.</w:t>
      </w:r>
      <w:r>
        <w:t xml:space="preserve"> Net zoals andere termen. </w:t>
      </w:r>
    </w:p>
    <w:p w14:paraId="76AA5BE6" w14:textId="000CDA7E" w:rsidR="00F07C02" w:rsidRDefault="00444BB5" w:rsidP="00D50BCB">
      <w:pPr>
        <w:pStyle w:val="Lijstalinea"/>
        <w:numPr>
          <w:ilvl w:val="0"/>
          <w:numId w:val="20"/>
        </w:numPr>
      </w:pPr>
      <w:r>
        <w:t>De focus scherp houden op wat is er verander</w:t>
      </w:r>
      <w:r w:rsidR="008C093E">
        <w:t>d</w:t>
      </w:r>
      <w:r>
        <w:t xml:space="preserve"> is op he</w:t>
      </w:r>
      <w:r w:rsidR="00DF0A90">
        <w:t>t</w:t>
      </w:r>
      <w:r>
        <w:t xml:space="preserve"> gebied van Waardering en selectie naar aanleiding van de Archief 2026. In Archief</w:t>
      </w:r>
      <w:r w:rsidR="008C093E">
        <w:t>wet</w:t>
      </w:r>
      <w:r>
        <w:t xml:space="preserve"> 2026 ligt de focus meer op bewaren, Archiefwet 1995 meer op vernietiging. Dit soort nuances kunnen ook meegenomen worden. </w:t>
      </w:r>
    </w:p>
    <w:p w14:paraId="2DF195B8" w14:textId="0826C514" w:rsidR="00444BB5" w:rsidRPr="00DF0A90" w:rsidRDefault="00350D53" w:rsidP="00D50BCB">
      <w:pPr>
        <w:pStyle w:val="Lijstalinea"/>
        <w:numPr>
          <w:ilvl w:val="0"/>
          <w:numId w:val="20"/>
        </w:numPr>
      </w:pPr>
      <w:r w:rsidRPr="00DF0A90">
        <w:t xml:space="preserve">Expliciet benoemen van </w:t>
      </w:r>
      <w:r w:rsidR="00DF0A90" w:rsidRPr="00DF0A90">
        <w:t xml:space="preserve">het belang van archivering </w:t>
      </w:r>
      <w:r w:rsidRPr="00DF0A90">
        <w:t xml:space="preserve">onderaan </w:t>
      </w:r>
      <w:proofErr w:type="spellStart"/>
      <w:r w:rsidRPr="00DF0A90">
        <w:t>pag</w:t>
      </w:r>
      <w:proofErr w:type="spellEnd"/>
      <w:r w:rsidRPr="00DF0A90">
        <w:t xml:space="preserve"> 10. Behouden </w:t>
      </w:r>
      <w:r w:rsidR="00283654" w:rsidRPr="00DF0A90">
        <w:t>in de tekst</w:t>
      </w:r>
      <w:r w:rsidR="008C093E">
        <w:t>, want dit heeft invloed op waardering en selectie</w:t>
      </w:r>
      <w:r w:rsidR="00283654" w:rsidRPr="00DF0A90">
        <w:t>.</w:t>
      </w:r>
    </w:p>
    <w:p w14:paraId="2D7DD3FF" w14:textId="48274CF3" w:rsidR="00EF4253" w:rsidRDefault="00C72560" w:rsidP="00D50BCB">
      <w:pPr>
        <w:pStyle w:val="Lijstalinea"/>
        <w:numPr>
          <w:ilvl w:val="0"/>
          <w:numId w:val="20"/>
        </w:numPr>
      </w:pPr>
      <w:r>
        <w:t xml:space="preserve">Bij </w:t>
      </w:r>
      <w:r w:rsidR="00EF4253">
        <w:t xml:space="preserve">Geldigheid en toepassingsperiode van selectiebesluiten. </w:t>
      </w:r>
      <w:r w:rsidR="008C093E">
        <w:t>De overbrengingst</w:t>
      </w:r>
      <w:r w:rsidR="00EF4253">
        <w:t>ermijn</w:t>
      </w:r>
      <w:r w:rsidR="008C093E">
        <w:t xml:space="preserve"> voor blijvend te bewaren documenten</w:t>
      </w:r>
      <w:r w:rsidR="00EF4253">
        <w:t xml:space="preserve"> begint te lopen vanaf moment creatie.</w:t>
      </w:r>
    </w:p>
    <w:p w14:paraId="72CAE805" w14:textId="6484B737" w:rsidR="00737B8B" w:rsidRDefault="00737B8B" w:rsidP="00D50BCB">
      <w:pPr>
        <w:pStyle w:val="Lijstalinea"/>
        <w:numPr>
          <w:ilvl w:val="0"/>
          <w:numId w:val="20"/>
        </w:numPr>
      </w:pPr>
      <w:r>
        <w:t xml:space="preserve">Punt 7 en 8 gaan eruit, </w:t>
      </w:r>
      <w:r w:rsidR="002D6A5F">
        <w:t xml:space="preserve"> omdat </w:t>
      </w:r>
      <w:r w:rsidR="008C093E">
        <w:t>ze weliswaar over de nieuwe Archiefwet gaan, maar niet over waardering en selectie.</w:t>
      </w:r>
    </w:p>
    <w:p w14:paraId="5A9614AD" w14:textId="5570C68E" w:rsidR="003E647C" w:rsidRPr="00BF14DC" w:rsidRDefault="00FE777F" w:rsidP="003E647C">
      <w:pPr>
        <w:pStyle w:val="Kop3"/>
        <w:rPr>
          <w:rFonts w:cs="Times New Roman"/>
          <w:b w:val="0"/>
          <w:bCs w:val="0"/>
          <w:sz w:val="18"/>
          <w:szCs w:val="24"/>
          <w:u w:val="single"/>
        </w:rPr>
      </w:pPr>
      <w:r>
        <w:rPr>
          <w:rFonts w:cs="Times New Roman"/>
          <w:b w:val="0"/>
          <w:bCs w:val="0"/>
          <w:sz w:val="18"/>
          <w:szCs w:val="24"/>
          <w:u w:val="single"/>
        </w:rPr>
        <w:t>M</w:t>
      </w:r>
      <w:r w:rsidR="00BF14DC" w:rsidRPr="00BF14DC">
        <w:rPr>
          <w:rFonts w:cs="Times New Roman"/>
          <w:b w:val="0"/>
          <w:bCs w:val="0"/>
          <w:sz w:val="18"/>
          <w:szCs w:val="24"/>
          <w:u w:val="single"/>
        </w:rPr>
        <w:t>odule rollen en organisatie</w:t>
      </w:r>
    </w:p>
    <w:p w14:paraId="1261C6D2" w14:textId="1F0C98F1" w:rsidR="00BF14DC" w:rsidRDefault="005938B2" w:rsidP="00131BB4">
      <w:pPr>
        <w:pStyle w:val="Lijstalinea"/>
        <w:numPr>
          <w:ilvl w:val="0"/>
          <w:numId w:val="20"/>
        </w:numPr>
      </w:pPr>
      <w:r>
        <w:t>Onderzoeksbelang toevoegen</w:t>
      </w:r>
    </w:p>
    <w:p w14:paraId="37FC9F8D" w14:textId="6923CA3A" w:rsidR="005938B2" w:rsidRPr="002D6A5F" w:rsidRDefault="002D6A5F" w:rsidP="00131BB4">
      <w:pPr>
        <w:pStyle w:val="Lijstalinea"/>
        <w:numPr>
          <w:ilvl w:val="0"/>
          <w:numId w:val="20"/>
        </w:numPr>
      </w:pPr>
      <w:r w:rsidRPr="002D6A5F">
        <w:t>De externe deskundige kijkt in principe vanuit het burgerbelang naar het selectiebesluit, maar het staat de externe deskundige vrij om ook punten aan te kaarten die niet direct het burgerbelang raken.</w:t>
      </w:r>
    </w:p>
    <w:p w14:paraId="0C95DCB8" w14:textId="43745E8D" w:rsidR="005938B2" w:rsidRDefault="005938B2" w:rsidP="00131BB4">
      <w:pPr>
        <w:pStyle w:val="Lijstalinea"/>
        <w:numPr>
          <w:ilvl w:val="0"/>
          <w:numId w:val="20"/>
        </w:numPr>
      </w:pPr>
      <w:r>
        <w:t>Bij afspraken over proces en rolverdeling, suggestie om ‘werkafspraken’ toe te voegen. Spelregels niet opnemen.</w:t>
      </w:r>
    </w:p>
    <w:p w14:paraId="7264D807" w14:textId="573EC427" w:rsidR="005938B2" w:rsidRDefault="005938B2" w:rsidP="00131BB4">
      <w:pPr>
        <w:pStyle w:val="Lijstalinea"/>
        <w:numPr>
          <w:ilvl w:val="0"/>
          <w:numId w:val="20"/>
        </w:numPr>
      </w:pPr>
      <w:r>
        <w:t>Zorgdrager en verantwoordelijk o</w:t>
      </w:r>
      <w:r w:rsidR="00A111E8">
        <w:t>v</w:t>
      </w:r>
      <w:r>
        <w:t>erheidsorgaan zijn geen synoniemen, daar goed op letten in de tekst.</w:t>
      </w:r>
    </w:p>
    <w:p w14:paraId="7F17DFB1" w14:textId="3B38E9FD" w:rsidR="005938B2" w:rsidRDefault="00BF17ED" w:rsidP="00131BB4">
      <w:pPr>
        <w:pStyle w:val="Lijstalinea"/>
        <w:numPr>
          <w:ilvl w:val="0"/>
          <w:numId w:val="20"/>
        </w:numPr>
      </w:pPr>
      <w:r>
        <w:t>Bij Selectiebesluit zie je dat het woord Archiefdienst niet een sterke nieuwe keuze is als term in de Archief 2026.</w:t>
      </w:r>
      <w:r w:rsidR="00FB1603">
        <w:t xml:space="preserve"> Anders formuleren dat het past.</w:t>
      </w:r>
    </w:p>
    <w:p w14:paraId="37404692" w14:textId="7C6BB595" w:rsidR="00FB1603" w:rsidRDefault="00FB1603" w:rsidP="00131BB4">
      <w:pPr>
        <w:pStyle w:val="Lijstalinea"/>
        <w:numPr>
          <w:ilvl w:val="0"/>
          <w:numId w:val="20"/>
        </w:numPr>
      </w:pPr>
      <w:r>
        <w:t>Het gebruik van het woord ‘we’ beter concreet maken elke keer. Net zoals ‘jij’ en ‘je’</w:t>
      </w:r>
      <w:r w:rsidR="00D21C6E">
        <w:t>, etc</w:t>
      </w:r>
      <w:r>
        <w:t>. Wie wordt bedoeld.</w:t>
      </w:r>
      <w:r w:rsidR="00D21C6E">
        <w:t xml:space="preserve"> En wees consequent.</w:t>
      </w:r>
    </w:p>
    <w:p w14:paraId="7F5B2D41" w14:textId="2C370358" w:rsidR="00BF14DC" w:rsidRDefault="00D21C6E" w:rsidP="00BF14DC">
      <w:pPr>
        <w:pStyle w:val="Lijstalinea"/>
        <w:numPr>
          <w:ilvl w:val="0"/>
          <w:numId w:val="20"/>
        </w:numPr>
      </w:pPr>
      <w:r>
        <w:t xml:space="preserve">Bij Stappen traject selectiebesluit, </w:t>
      </w:r>
      <w:r w:rsidR="0010145F">
        <w:t xml:space="preserve">als je een selectielijst </w:t>
      </w:r>
      <w:r w:rsidR="003C0FAD">
        <w:t>‘</w:t>
      </w:r>
      <w:r w:rsidR="0010145F">
        <w:t>actualiseert</w:t>
      </w:r>
      <w:r w:rsidR="003C0FAD">
        <w:t>’</w:t>
      </w:r>
      <w:r w:rsidR="0010145F">
        <w:t xml:space="preserve"> vanaf wanneer gat het dan en ‘nieuwe’ selectielijst zijn? Iedere 10 jaar ‘nieuw’ document. Termen worden nu door elkaar gehaald.</w:t>
      </w:r>
      <w:r w:rsidR="003C0FAD">
        <w:t xml:space="preserve"> De hoop wordt door een </w:t>
      </w:r>
      <w:proofErr w:type="spellStart"/>
      <w:r w:rsidR="003C0FAD">
        <w:t>beheergroeplid</w:t>
      </w:r>
      <w:proofErr w:type="spellEnd"/>
      <w:r w:rsidR="003C0FAD">
        <w:t xml:space="preserve"> uitgesproken dat men als sector meer aan actualisaties gaat werken.</w:t>
      </w:r>
      <w:r w:rsidR="001352E9">
        <w:t xml:space="preserve"> In de handreiking gebruiken we enkel de term ‘nieuw’ selectiebesluit, omdat er </w:t>
      </w:r>
      <w:proofErr w:type="spellStart"/>
      <w:r w:rsidR="001352E9">
        <w:t>Archiefwettelijk</w:t>
      </w:r>
      <w:proofErr w:type="spellEnd"/>
      <w:r w:rsidR="001352E9">
        <w:t xml:space="preserve"> gezien na iedere vaststelling sprake is van een nieuw selectiebesluit, hoewel de wijzigingen ten opzichte van het vorige selectiebesluit heel klein kunnen zijn.</w:t>
      </w:r>
    </w:p>
    <w:p w14:paraId="4ED57B19" w14:textId="25A4F409" w:rsidR="00D567AB" w:rsidRDefault="00A018CC" w:rsidP="00BF14DC">
      <w:pPr>
        <w:pStyle w:val="Lijstalinea"/>
        <w:numPr>
          <w:ilvl w:val="0"/>
          <w:numId w:val="20"/>
        </w:numPr>
      </w:pPr>
      <w:r>
        <w:lastRenderedPageBreak/>
        <w:t xml:space="preserve">Ondertekening door verantwoordelijke voor informatiehuishouding of bestuurder. </w:t>
      </w:r>
    </w:p>
    <w:p w14:paraId="79CB5FB3" w14:textId="21FF7524" w:rsidR="00D2765B" w:rsidRPr="009749D1" w:rsidRDefault="00D2765B" w:rsidP="00D2765B">
      <w:pPr>
        <w:ind w:left="360"/>
      </w:pPr>
    </w:p>
    <w:p w14:paraId="79D5F047" w14:textId="7BA63090" w:rsidR="009749D1" w:rsidRDefault="0060515D" w:rsidP="009749D1">
      <w:pPr>
        <w:pStyle w:val="Lijstalinea"/>
        <w:numPr>
          <w:ilvl w:val="0"/>
          <w:numId w:val="20"/>
        </w:numPr>
      </w:pPr>
      <w:r w:rsidRPr="0060515D">
        <w:t>Decentrale overheden kunnen afzonderlijk of via een koepelorganisatie een selectiebesluit opstellen. Het traject dat in deze handreiking wordt beschreven gaat uit van koepelorganisaties. We gaan kort vermelden wat decentrale overheden kunnen doen als zij een eigen selectiebesluit willen opstellen. Aangezien dat tot dusver nog nooit is gebeurd en we nog geen signalen hebben ontvangen dat dat op korte termijn gaat gebeuren wordt het traject voor afzonderlijke decentrale overheidsorganisaties niet volledig uitgeschreven in de handreiking.</w:t>
      </w:r>
    </w:p>
    <w:p w14:paraId="5538A978" w14:textId="64F99ABE" w:rsidR="00913C47" w:rsidRDefault="00913C47" w:rsidP="00D2765B">
      <w:pPr>
        <w:pStyle w:val="Lijstalinea"/>
        <w:numPr>
          <w:ilvl w:val="0"/>
          <w:numId w:val="20"/>
        </w:numPr>
      </w:pPr>
      <w:r>
        <w:t xml:space="preserve">Gevolgen succesvol beroep </w:t>
      </w:r>
      <w:proofErr w:type="spellStart"/>
      <w:r>
        <w:t>eea</w:t>
      </w:r>
      <w:proofErr w:type="spellEnd"/>
      <w:r>
        <w:t xml:space="preserve"> over toevoegen.</w:t>
      </w:r>
      <w:r w:rsidR="00C367F2">
        <w:t xml:space="preserve"> Toevoegen </w:t>
      </w:r>
      <w:r w:rsidR="001352E9">
        <w:t xml:space="preserve">hoe de </w:t>
      </w:r>
      <w:r w:rsidR="00C367F2">
        <w:t>beroepsprocedure</w:t>
      </w:r>
      <w:r w:rsidR="001352E9">
        <w:t xml:space="preserve"> eruit ziet</w:t>
      </w:r>
      <w:r w:rsidR="00C367F2">
        <w:t>.</w:t>
      </w:r>
      <w:r w:rsidR="001352E9">
        <w:t xml:space="preserve"> Bezwaar wordt verwijderd want mensen kunnen niet in bezwaar tegen een vastgesteld selectiebesluit, enkel in beroep.</w:t>
      </w:r>
    </w:p>
    <w:p w14:paraId="541AD065" w14:textId="6B83ABA4" w:rsidR="00C367F2" w:rsidRDefault="00041DB5" w:rsidP="00D2765B">
      <w:pPr>
        <w:pStyle w:val="Lijstalinea"/>
        <w:numPr>
          <w:ilvl w:val="0"/>
          <w:numId w:val="20"/>
        </w:numPr>
      </w:pPr>
      <w:r>
        <w:t>NA is niet betrokken bij benoeming externe deskundigen</w:t>
      </w:r>
      <w:r w:rsidR="001352E9">
        <w:t xml:space="preserve"> van decentrale overheden</w:t>
      </w:r>
      <w:r>
        <w:t>.</w:t>
      </w:r>
    </w:p>
    <w:p w14:paraId="3658240D" w14:textId="161528CA" w:rsidR="000D734F" w:rsidRPr="009749D1" w:rsidRDefault="00B86FC5" w:rsidP="00CA77C5">
      <w:pPr>
        <w:pStyle w:val="Lijstalinea"/>
        <w:numPr>
          <w:ilvl w:val="0"/>
          <w:numId w:val="20"/>
        </w:numPr>
      </w:pPr>
      <w:r w:rsidRPr="00DF0A90">
        <w:t>‘Verslag overleg’</w:t>
      </w:r>
      <w:r w:rsidR="000D734F" w:rsidRPr="00DF0A90">
        <w:t xml:space="preserve"> aparte</w:t>
      </w:r>
      <w:r w:rsidR="000D734F">
        <w:t xml:space="preserve"> bijlage in het geval bij koepelorganisaties</w:t>
      </w:r>
      <w:r w:rsidR="00900031">
        <w:t xml:space="preserve"> is </w:t>
      </w:r>
      <w:r w:rsidR="00DF0A90">
        <w:t xml:space="preserve">een </w:t>
      </w:r>
      <w:r w:rsidR="00900031">
        <w:t>interessan</w:t>
      </w:r>
      <w:r w:rsidR="00DF0A90">
        <w:t>t idee.</w:t>
      </w:r>
      <w:r w:rsidR="001352E9">
        <w:t xml:space="preserve"> Aan de tekst wordt toegevoegd dat het NA adviseert om het verslag overleg toe te voegen als bijlage aan selectiebesluiten van decentrale overheden.</w:t>
      </w:r>
    </w:p>
    <w:p w14:paraId="0717E8C8" w14:textId="77777777" w:rsidR="00D2765B" w:rsidRDefault="00D2765B" w:rsidP="00D2765B">
      <w:pPr>
        <w:rPr>
          <w:highlight w:val="yellow"/>
        </w:rPr>
      </w:pPr>
    </w:p>
    <w:p w14:paraId="541D3E4F" w14:textId="3ED7098C" w:rsidR="007B7128" w:rsidRDefault="0019436E" w:rsidP="003E647C">
      <w:pPr>
        <w:pStyle w:val="Kop3"/>
      </w:pPr>
      <w:r>
        <w:t>Vervolg</w:t>
      </w:r>
    </w:p>
    <w:p w14:paraId="01EFDCF8" w14:textId="32663563" w:rsidR="00AF1C5D" w:rsidRDefault="00AF1C5D" w:rsidP="001D1C69">
      <w:pPr>
        <w:pStyle w:val="Geenafstand"/>
        <w:numPr>
          <w:ilvl w:val="0"/>
          <w:numId w:val="20"/>
        </w:numPr>
      </w:pPr>
      <w:r>
        <w:t xml:space="preserve">De stukken worden aangepast en komen </w:t>
      </w:r>
      <w:r w:rsidR="00DF0A90">
        <w:t>nog eenmaal langs de beheergroep.</w:t>
      </w:r>
    </w:p>
    <w:p w14:paraId="327492D9" w14:textId="001662D9" w:rsidR="00C12DEE" w:rsidRDefault="00CA77C5" w:rsidP="001D1C69">
      <w:pPr>
        <w:pStyle w:val="Geenafstand"/>
        <w:numPr>
          <w:ilvl w:val="0"/>
          <w:numId w:val="20"/>
        </w:numPr>
      </w:pPr>
      <w:r>
        <w:t>Planning: nieuwe sessie op 15 juli</w:t>
      </w:r>
      <w:r w:rsidR="00CE2130">
        <w:t xml:space="preserve"> over de volgende drie modules</w:t>
      </w:r>
      <w:r>
        <w:t xml:space="preserve">, commentaar vanuit </w:t>
      </w:r>
      <w:proofErr w:type="spellStart"/>
      <w:r>
        <w:t>beheergroepleden</w:t>
      </w:r>
      <w:proofErr w:type="spellEnd"/>
      <w:r>
        <w:t xml:space="preserve"> </w:t>
      </w:r>
      <w:r w:rsidR="00CE2130">
        <w:t xml:space="preserve">over deze modules </w:t>
      </w:r>
      <w:r>
        <w:t>rond 1 juli versturen aan NA.</w:t>
      </w:r>
    </w:p>
    <w:p w14:paraId="080CDBDB" w14:textId="23868876" w:rsidR="001D1C69" w:rsidRDefault="001D1C69" w:rsidP="001D1C69">
      <w:pPr>
        <w:pStyle w:val="Geenafstand"/>
        <w:numPr>
          <w:ilvl w:val="0"/>
          <w:numId w:val="20"/>
        </w:numPr>
      </w:pPr>
      <w:r>
        <w:t xml:space="preserve">Dit verslag komt op KIA openbaar te staan. </w:t>
      </w:r>
    </w:p>
    <w:p w14:paraId="38DA317C" w14:textId="3B6E9F0D" w:rsidR="00A606AE" w:rsidRDefault="00731C7C" w:rsidP="001D1C69">
      <w:pPr>
        <w:pStyle w:val="Geenafstand"/>
        <w:numPr>
          <w:ilvl w:val="0"/>
          <w:numId w:val="20"/>
        </w:numPr>
      </w:pPr>
      <w:r>
        <w:t xml:space="preserve">De voorzitter vraagt of de </w:t>
      </w:r>
      <w:proofErr w:type="spellStart"/>
      <w:r>
        <w:t>beheerg</w:t>
      </w:r>
      <w:r w:rsidR="00E96863">
        <w:t>roep</w:t>
      </w:r>
      <w:r>
        <w:t>leden</w:t>
      </w:r>
      <w:proofErr w:type="spellEnd"/>
      <w:r>
        <w:t xml:space="preserve"> of deel willen nemen in een andere beheergroep van het cluster.</w:t>
      </w:r>
      <w:r w:rsidR="00F529C3">
        <w:t xml:space="preserve"> </w:t>
      </w:r>
    </w:p>
    <w:sectPr w:rsidR="00A606AE" w:rsidSect="006B333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95EB" w14:textId="77777777" w:rsidR="00121ADE" w:rsidRDefault="00121ADE">
      <w:r>
        <w:separator/>
      </w:r>
    </w:p>
    <w:p w14:paraId="4FEE148A" w14:textId="77777777" w:rsidR="00121ADE" w:rsidRDefault="00121ADE"/>
  </w:endnote>
  <w:endnote w:type="continuationSeparator" w:id="0">
    <w:p w14:paraId="624A0A91" w14:textId="77777777" w:rsidR="00121ADE" w:rsidRDefault="00121ADE">
      <w:r>
        <w:continuationSeparator/>
      </w:r>
    </w:p>
    <w:p w14:paraId="4D84566F" w14:textId="77777777" w:rsidR="00121ADE" w:rsidRDefault="00121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7D4E" w14:textId="77777777" w:rsidR="00CD742E" w:rsidRDefault="00CD74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CE17" w14:textId="77777777" w:rsidR="00600B57" w:rsidRPr="00BC3B53" w:rsidRDefault="00600B57" w:rsidP="008C356D">
    <w:pPr>
      <w:pStyle w:val="Voettekst"/>
      <w:spacing w:line="240" w:lineRule="auto"/>
      <w:rPr>
        <w:sz w:val="2"/>
        <w:szCs w:val="2"/>
      </w:rPr>
    </w:pPr>
  </w:p>
  <w:tbl>
    <w:tblPr>
      <w:tblW w:w="9897" w:type="dxa"/>
      <w:tblLayout w:type="fixed"/>
      <w:tblCellMar>
        <w:left w:w="0" w:type="dxa"/>
        <w:right w:w="0" w:type="dxa"/>
      </w:tblCellMar>
      <w:tblLook w:val="0000" w:firstRow="0" w:lastRow="0" w:firstColumn="0" w:lastColumn="0" w:noHBand="0" w:noVBand="0"/>
    </w:tblPr>
    <w:tblGrid>
      <w:gridCol w:w="7755"/>
      <w:gridCol w:w="2142"/>
    </w:tblGrid>
    <w:tr w:rsidR="00A87CBF" w14:paraId="57FD0EF2" w14:textId="77777777" w:rsidTr="00EC4D55">
      <w:trPr>
        <w:trHeight w:hRule="exact" w:val="240"/>
      </w:trPr>
      <w:tc>
        <w:tcPr>
          <w:tcW w:w="7755" w:type="dxa"/>
        </w:tcPr>
        <w:p w14:paraId="1436287E" w14:textId="77777777" w:rsidR="00600B57" w:rsidRDefault="00600B57" w:rsidP="003F1F6B">
          <w:pPr>
            <w:pStyle w:val="Huisstijl-Rubricering"/>
          </w:pPr>
        </w:p>
      </w:tc>
      <w:tc>
        <w:tcPr>
          <w:tcW w:w="2142" w:type="dxa"/>
        </w:tcPr>
        <w:p w14:paraId="7CBC1EF8" w14:textId="1B343AEF" w:rsidR="00600B57" w:rsidRPr="00236CFE" w:rsidRDefault="0068150F"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E37F66">
            <w:t>2</w:t>
          </w:r>
          <w:r w:rsidRPr="00CB7ABA">
            <w:fldChar w:fldCharType="end"/>
          </w:r>
          <w:r w:rsidRPr="00CB7ABA">
            <w:t xml:space="preserve"> van </w:t>
          </w:r>
          <w:fldSimple w:instr=" SECTIONPAGES   \* MERGEFORMAT ">
            <w:r w:rsidR="00C85E22">
              <w:t>3</w:t>
            </w:r>
          </w:fldSimple>
        </w:p>
      </w:tc>
    </w:tr>
  </w:tbl>
  <w:p w14:paraId="223347B0" w14:textId="77777777" w:rsidR="00600B57" w:rsidRPr="00BC3B53" w:rsidRDefault="00600B5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5"/>
      <w:gridCol w:w="2145"/>
    </w:tblGrid>
    <w:tr w:rsidR="00A87CBF" w14:paraId="3F94A825" w14:textId="77777777" w:rsidTr="00EC4D55">
      <w:trPr>
        <w:trHeight w:hRule="exact" w:val="240"/>
      </w:trPr>
      <w:tc>
        <w:tcPr>
          <w:tcW w:w="7755" w:type="dxa"/>
        </w:tcPr>
        <w:p w14:paraId="5A1C83C2" w14:textId="77777777" w:rsidR="00600B57" w:rsidRDefault="00600B57" w:rsidP="008C356D">
          <w:pPr>
            <w:pStyle w:val="Huisstijl-Rubricering"/>
          </w:pPr>
        </w:p>
      </w:tc>
      <w:tc>
        <w:tcPr>
          <w:tcW w:w="2145" w:type="dxa"/>
        </w:tcPr>
        <w:p w14:paraId="12F79826" w14:textId="496DD51B" w:rsidR="00600B57" w:rsidRPr="00CB7ABA" w:rsidRDefault="0068150F"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0F4061">
            <w:t>1</w:t>
          </w:r>
          <w:r w:rsidRPr="00CB7ABA">
            <w:fldChar w:fldCharType="end"/>
          </w:r>
          <w:r w:rsidRPr="00CB7ABA">
            <w:t xml:space="preserve"> van</w:t>
          </w:r>
          <w:r w:rsidRPr="00CB7ABA">
            <w:rPr>
              <w:rStyle w:val="Huisstijl-GegevenCharChar"/>
            </w:rPr>
            <w:t xml:space="preserve"> </w:t>
          </w:r>
          <w:fldSimple w:instr=" SECTIONPAGES   \* MERGEFORMAT ">
            <w:r w:rsidR="00C85E22">
              <w:t>3</w:t>
            </w:r>
          </w:fldSimple>
        </w:p>
      </w:tc>
    </w:tr>
  </w:tbl>
  <w:p w14:paraId="45037213" w14:textId="77777777" w:rsidR="00600B57" w:rsidRPr="00BC3B53" w:rsidRDefault="00600B57" w:rsidP="008C356D">
    <w:pPr>
      <w:pStyle w:val="Voettekst"/>
      <w:spacing w:line="240" w:lineRule="auto"/>
      <w:rPr>
        <w:sz w:val="2"/>
        <w:szCs w:val="2"/>
      </w:rPr>
    </w:pPr>
  </w:p>
  <w:p w14:paraId="303C2C8D" w14:textId="77777777" w:rsidR="00600B57" w:rsidRPr="00BC3B53" w:rsidRDefault="00600B5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FE3F" w14:textId="77777777" w:rsidR="00121ADE" w:rsidRDefault="00121ADE">
      <w:r>
        <w:separator/>
      </w:r>
    </w:p>
    <w:p w14:paraId="6E50A687" w14:textId="77777777" w:rsidR="00121ADE" w:rsidRDefault="00121ADE"/>
  </w:footnote>
  <w:footnote w:type="continuationSeparator" w:id="0">
    <w:p w14:paraId="64C59EE9" w14:textId="77777777" w:rsidR="00121ADE" w:rsidRDefault="00121ADE">
      <w:r>
        <w:continuationSeparator/>
      </w:r>
    </w:p>
    <w:p w14:paraId="0C6E3DE5" w14:textId="77777777" w:rsidR="00121ADE" w:rsidRDefault="00121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8ADE" w14:textId="77777777" w:rsidR="00CD742E" w:rsidRDefault="00CD74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Verdana-Bold"/>
        <w:b/>
        <w:bCs/>
        <w:smallCaps/>
        <w:szCs w:val="18"/>
      </w:rPr>
      <w:id w:val="1872956333"/>
      <w:docPartObj>
        <w:docPartGallery w:val="Watermarks"/>
        <w:docPartUnique/>
      </w:docPartObj>
    </w:sdtPr>
    <w:sdtEndPr/>
    <w:sdtContent>
      <w:p w14:paraId="6798E413" w14:textId="6AAFFAD1" w:rsidR="00600B57" w:rsidRDefault="00121ADE" w:rsidP="008C356D">
        <w:pPr>
          <w:pStyle w:val="Koptekst"/>
          <w:rPr>
            <w:rFonts w:cs="Verdana-Bold"/>
            <w:b/>
            <w:bCs/>
            <w:smallCaps/>
            <w:szCs w:val="18"/>
          </w:rPr>
        </w:pPr>
        <w:r>
          <w:rPr>
            <w:rFonts w:cs="Verdana-Bold"/>
            <w:b/>
            <w:bCs/>
            <w:smallCaps/>
            <w:szCs w:val="18"/>
          </w:rPr>
          <w:pict w14:anchorId="54062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p w14:paraId="6F7294AD" w14:textId="77777777" w:rsidR="005277A4" w:rsidRDefault="005277A4" w:rsidP="008C356D">
    <w:pPr>
      <w:pStyle w:val="Koptekst"/>
      <w:rPr>
        <w:rFonts w:cs="Verdana-Bold"/>
        <w:b/>
        <w:bCs/>
        <w:smallCaps/>
        <w:szCs w:val="18"/>
      </w:rPr>
    </w:pPr>
  </w:p>
  <w:tbl>
    <w:tblPr>
      <w:tblpPr w:leftFromText="142" w:rightFromText="142" w:vertAnchor="page" w:tblpX="7754" w:tblpY="2978"/>
      <w:tblOverlap w:val="never"/>
      <w:tblW w:w="2170" w:type="dxa"/>
      <w:tblLayout w:type="fixed"/>
      <w:tblCellMar>
        <w:left w:w="0" w:type="dxa"/>
        <w:right w:w="0" w:type="dxa"/>
      </w:tblCellMar>
      <w:tblLook w:val="0000" w:firstRow="0" w:lastRow="0" w:firstColumn="0" w:lastColumn="0" w:noHBand="0" w:noVBand="0"/>
    </w:tblPr>
    <w:tblGrid>
      <w:gridCol w:w="2170"/>
    </w:tblGrid>
    <w:tr w:rsidR="00A87CBF" w14:paraId="41258DB8" w14:textId="77777777" w:rsidTr="00EC4D55">
      <w:tc>
        <w:tcPr>
          <w:tcW w:w="2170" w:type="dxa"/>
        </w:tcPr>
        <w:p w14:paraId="19BEA0A5" w14:textId="77777777" w:rsidR="00600B57" w:rsidRPr="00044613" w:rsidRDefault="0068150F" w:rsidP="00676691">
          <w:pPr>
            <w:pStyle w:val="Huisstijl-Kopje"/>
          </w:pPr>
          <w:r>
            <w:t>Nationaal Archief</w:t>
          </w:r>
        </w:p>
      </w:tc>
    </w:tr>
    <w:tr w:rsidR="00A87CBF" w14:paraId="08A73C74" w14:textId="77777777" w:rsidTr="00EC4D55">
      <w:tc>
        <w:tcPr>
          <w:tcW w:w="2170" w:type="dxa"/>
        </w:tcPr>
        <w:p w14:paraId="58BA9306" w14:textId="77777777" w:rsidR="00676691" w:rsidRDefault="00676691" w:rsidP="00676691">
          <w:pPr>
            <w:pStyle w:val="Huisstijl-Kopje"/>
          </w:pPr>
        </w:p>
      </w:tc>
    </w:tr>
    <w:tr w:rsidR="00A87CBF" w14:paraId="2C4D80B1" w14:textId="77777777" w:rsidTr="00676691">
      <w:tc>
        <w:tcPr>
          <w:tcW w:w="2170" w:type="dxa"/>
        </w:tcPr>
        <w:p w14:paraId="12C6D781" w14:textId="77777777" w:rsidR="00676691" w:rsidRDefault="0068150F" w:rsidP="00676691">
          <w:pPr>
            <w:pStyle w:val="Huisstijl-Kopje"/>
          </w:pPr>
          <w:r>
            <w:t>Onze referentie</w:t>
          </w:r>
        </w:p>
        <w:p w14:paraId="71462D87" w14:textId="77777777" w:rsidR="00676691" w:rsidRDefault="00E37F66" w:rsidP="00676691">
          <w:pPr>
            <w:pStyle w:val="Huisstijl-Gegeven"/>
          </w:pPr>
          <w:fldSimple w:instr=" DOCPROPERTY  &quot;E-Doc documentnummer&quot;  \* MERGEFORMAT ">
            <w:r>
              <w:t>-</w:t>
            </w:r>
          </w:fldSimple>
        </w:p>
      </w:tc>
    </w:tr>
    <w:tr w:rsidR="00A87CBF" w14:paraId="732E67B0" w14:textId="77777777" w:rsidTr="00676691">
      <w:tc>
        <w:tcPr>
          <w:tcW w:w="2170" w:type="dxa"/>
        </w:tcPr>
        <w:p w14:paraId="344EC877" w14:textId="77777777" w:rsidR="00676691" w:rsidRPr="00F9751C" w:rsidRDefault="0068150F" w:rsidP="00676691">
          <w:pPr>
            <w:pStyle w:val="Huisstijl-Kopje"/>
          </w:pPr>
          <w:r>
            <w:t>Datum</w:t>
          </w:r>
        </w:p>
        <w:p w14:paraId="4D6D3F9E" w14:textId="052B3C57" w:rsidR="00676691" w:rsidRPr="005819CE" w:rsidRDefault="00CD742E" w:rsidP="00676691">
          <w:pPr>
            <w:pStyle w:val="Huisstijl-Gegeven"/>
          </w:pPr>
          <w:r>
            <w:t>24 juni</w:t>
          </w:r>
          <w:r w:rsidR="0068150F">
            <w:t xml:space="preserve"> 2026</w:t>
          </w:r>
        </w:p>
      </w:tc>
    </w:tr>
  </w:tbl>
  <w:p w14:paraId="564CBC3A" w14:textId="77777777" w:rsidR="00774DB0" w:rsidRPr="00774DB0" w:rsidRDefault="00774DB0" w:rsidP="00774DB0">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A87CBF" w14:paraId="55394FE6" w14:textId="77777777" w:rsidTr="009D5D50">
      <w:trPr>
        <w:trHeight w:hRule="exact" w:val="400"/>
      </w:trPr>
      <w:tc>
        <w:tcPr>
          <w:tcW w:w="7520" w:type="dxa"/>
        </w:tcPr>
        <w:p w14:paraId="58DDEF7C" w14:textId="77777777" w:rsidR="00600B57" w:rsidRPr="00275984" w:rsidRDefault="00600B57" w:rsidP="002D3C2B">
          <w:pPr>
            <w:pStyle w:val="Huisstijl-Rubricering"/>
          </w:pPr>
        </w:p>
      </w:tc>
    </w:tr>
  </w:tbl>
  <w:p w14:paraId="12BAFAF5" w14:textId="77777777" w:rsidR="00600B57" w:rsidRDefault="00600B57" w:rsidP="008C356D"/>
  <w:p w14:paraId="2A3A38A9" w14:textId="77777777" w:rsidR="00600B57" w:rsidRPr="00740712" w:rsidRDefault="00600B57" w:rsidP="008C356D"/>
  <w:p w14:paraId="169C72F4" w14:textId="77777777" w:rsidR="00600B57" w:rsidRPr="00217880" w:rsidRDefault="00600B57" w:rsidP="008C356D">
    <w:pPr>
      <w:spacing w:line="0" w:lineRule="atLeast"/>
      <w:rPr>
        <w:sz w:val="2"/>
        <w:szCs w:val="2"/>
      </w:rPr>
    </w:pPr>
  </w:p>
  <w:p w14:paraId="0AF2C007" w14:textId="77777777" w:rsidR="00600B57" w:rsidRDefault="00600B57" w:rsidP="004F44C2"/>
  <w:p w14:paraId="1DBD87AA" w14:textId="77777777" w:rsidR="00600B57" w:rsidRPr="00740712" w:rsidRDefault="00600B57" w:rsidP="004F44C2"/>
  <w:p w14:paraId="0B0A444D" w14:textId="77777777" w:rsidR="00600B57" w:rsidRPr="00217880" w:rsidRDefault="00600B57"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0" w:type="dxa"/>
      <w:tblLayout w:type="fixed"/>
      <w:tblCellMar>
        <w:left w:w="0" w:type="dxa"/>
        <w:right w:w="0" w:type="dxa"/>
      </w:tblCellMar>
      <w:tblLook w:val="0000" w:firstRow="0" w:lastRow="0" w:firstColumn="0" w:lastColumn="0" w:noHBand="0" w:noVBand="0"/>
    </w:tblPr>
    <w:tblGrid>
      <w:gridCol w:w="742"/>
      <w:gridCol w:w="5263"/>
    </w:tblGrid>
    <w:tr w:rsidR="00A87CBF" w14:paraId="0939DF8A" w14:textId="77777777" w:rsidTr="00EC4D55">
      <w:trPr>
        <w:trHeight w:val="2636"/>
      </w:trPr>
      <w:tc>
        <w:tcPr>
          <w:tcW w:w="742" w:type="dxa"/>
        </w:tcPr>
        <w:p w14:paraId="7466B353" w14:textId="77777777" w:rsidR="00600B57" w:rsidRDefault="0068150F" w:rsidP="00044613">
          <w:pPr>
            <w:framePr w:w="6340" w:h="2750" w:hRule="exact" w:hSpace="180" w:wrap="around" w:vAnchor="page" w:hAnchor="text" w:x="3873" w:y="-70"/>
            <w:spacing w:line="240" w:lineRule="auto"/>
          </w:pPr>
          <w:r>
            <w:rPr>
              <w:noProof/>
              <w:lang w:val="en-US" w:eastAsia="en-US"/>
            </w:rPr>
            <w:drawing>
              <wp:inline distT="0" distB="0" distL="0" distR="0" wp14:anchorId="0E4E5619" wp14:editId="6E49BAAC">
                <wp:extent cx="466725" cy="1581150"/>
                <wp:effectExtent l="0" t="0" r="0" b="0"/>
                <wp:docPr id="979260261" name="Picture 7"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Rijkslint Zwa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263" w:type="dxa"/>
        </w:tcPr>
        <w:p w14:paraId="22FA5C4F" w14:textId="77777777" w:rsidR="0052539C" w:rsidRDefault="0052539C" w:rsidP="00044613">
          <w:pPr>
            <w:framePr w:w="6340" w:h="2750" w:hRule="exact" w:hSpace="180" w:wrap="around" w:vAnchor="page" w:hAnchor="text" w:x="3873" w:y="-70"/>
            <w:spacing w:line="240" w:lineRule="auto"/>
            <w:rPr>
              <w:noProof/>
            </w:rPr>
          </w:pPr>
        </w:p>
        <w:p w14:paraId="79B3FE90" w14:textId="77777777" w:rsidR="00600B57" w:rsidRPr="002F39A6" w:rsidRDefault="0068150F" w:rsidP="00044613">
          <w:pPr>
            <w:framePr w:w="6340" w:h="2750" w:hRule="exact" w:hSpace="180" w:wrap="around" w:vAnchor="page" w:hAnchor="text" w:x="3873" w:y="-70"/>
            <w:spacing w:line="240" w:lineRule="auto"/>
          </w:pPr>
          <w:r>
            <w:rPr>
              <w:noProof/>
              <w:lang w:val="en-US" w:eastAsia="en-US"/>
            </w:rPr>
            <w:drawing>
              <wp:inline distT="0" distB="0" distL="0" distR="0" wp14:anchorId="1D8B3E2A" wp14:editId="01DC9778">
                <wp:extent cx="2343150" cy="1409700"/>
                <wp:effectExtent l="0" t="0" r="0" b="0"/>
                <wp:docPr id="1369361606"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RO_OCW_NA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t="10913"/>
                        <a:stretch>
                          <a:fillRect/>
                        </a:stretch>
                      </pic:blipFill>
                      <pic:spPr bwMode="auto">
                        <a:xfrm>
                          <a:off x="0" y="0"/>
                          <a:ext cx="2343150" cy="1409700"/>
                        </a:xfrm>
                        <a:prstGeom prst="rect">
                          <a:avLst/>
                        </a:prstGeom>
                        <a:noFill/>
                        <a:ln>
                          <a:noFill/>
                        </a:ln>
                      </pic:spPr>
                    </pic:pic>
                  </a:graphicData>
                </a:graphic>
              </wp:inline>
            </w:drawing>
          </w:r>
        </w:p>
      </w:tc>
    </w:tr>
  </w:tbl>
  <w:p w14:paraId="0C41631D" w14:textId="77777777" w:rsidR="00600B57" w:rsidRDefault="00600B57" w:rsidP="00044613">
    <w:pPr>
      <w:framePr w:w="6340" w:h="2750" w:hRule="exact" w:hSpace="180" w:wrap="around" w:vAnchor="page" w:hAnchor="text" w:x="3873" w:y="-70"/>
    </w:pPr>
  </w:p>
  <w:p w14:paraId="438408EE" w14:textId="77777777" w:rsidR="00600B57" w:rsidRDefault="00600B57"/>
  <w:tbl>
    <w:tblPr>
      <w:tblpPr w:leftFromText="142" w:rightFromText="142" w:vertAnchor="page" w:tblpX="7756" w:tblpY="2978"/>
      <w:tblOverlap w:val="never"/>
      <w:tblW w:w="2170" w:type="dxa"/>
      <w:tblLayout w:type="fixed"/>
      <w:tblCellMar>
        <w:left w:w="0" w:type="dxa"/>
        <w:right w:w="0" w:type="dxa"/>
      </w:tblCellMar>
      <w:tblLook w:val="0000" w:firstRow="0" w:lastRow="0" w:firstColumn="0" w:lastColumn="0" w:noHBand="0" w:noVBand="0"/>
    </w:tblPr>
    <w:tblGrid>
      <w:gridCol w:w="2170"/>
    </w:tblGrid>
    <w:tr w:rsidR="00A87CBF" w14:paraId="7761988A" w14:textId="77777777" w:rsidTr="00EC4D55">
      <w:tc>
        <w:tcPr>
          <w:tcW w:w="2170" w:type="dxa"/>
        </w:tcPr>
        <w:p w14:paraId="3B57718C" w14:textId="77777777" w:rsidR="00B72EC3" w:rsidRPr="002309A9" w:rsidRDefault="0068150F" w:rsidP="00B72EC3">
          <w:pPr>
            <w:pStyle w:val="Huisstijl-Adres"/>
            <w:rPr>
              <w:b/>
            </w:rPr>
          </w:pPr>
          <w:r w:rsidRPr="00CC740F">
            <w:t>Prins Willem-Alexanderhof 20</w:t>
          </w:r>
          <w:r w:rsidRPr="00CC740F">
            <w:br/>
            <w:t>2595 BE Den Haag</w:t>
          </w:r>
          <w:r w:rsidR="002309A9">
            <w:rPr>
              <w:b/>
            </w:rPr>
            <w:br/>
          </w:r>
          <w:r w:rsidR="00845370">
            <w:rPr>
              <w:noProof w:val="0"/>
            </w:rPr>
            <w:t xml:space="preserve">T  </w:t>
          </w:r>
          <w:r w:rsidR="0052539C" w:rsidRPr="0052539C">
            <w:rPr>
              <w:noProof w:val="0"/>
            </w:rPr>
            <w:t>+31-70-331 5400</w:t>
          </w:r>
          <w:r w:rsidRPr="00CC740F">
            <w:rPr>
              <w:noProof w:val="0"/>
            </w:rPr>
            <w:br/>
            <w:t>www.nationaalarchief.nl</w:t>
          </w:r>
        </w:p>
        <w:p w14:paraId="11D36F4D" w14:textId="5490013D" w:rsidR="00B72EC3" w:rsidRPr="004C2ACE" w:rsidRDefault="00B72EC3" w:rsidP="00E37F66">
          <w:pPr>
            <w:pStyle w:val="Huisstijl-Gegeven"/>
          </w:pPr>
        </w:p>
      </w:tc>
    </w:tr>
    <w:tr w:rsidR="00A87CBF" w14:paraId="23958A83" w14:textId="77777777" w:rsidTr="00EC4D55">
      <w:trPr>
        <w:trHeight w:hRule="exact" w:val="200"/>
      </w:trPr>
      <w:tc>
        <w:tcPr>
          <w:tcW w:w="2170" w:type="dxa"/>
        </w:tcPr>
        <w:p w14:paraId="7625CF7B" w14:textId="77777777" w:rsidR="00600B57" w:rsidRPr="004C2ACE" w:rsidRDefault="00600B57" w:rsidP="00EC4D55"/>
      </w:tc>
    </w:tr>
    <w:tr w:rsidR="00A87CBF" w14:paraId="69F067A9" w14:textId="77777777" w:rsidTr="00FE1EB4">
      <w:tc>
        <w:tcPr>
          <w:tcW w:w="2170" w:type="dxa"/>
        </w:tcPr>
        <w:p w14:paraId="3AEF7B90" w14:textId="77777777" w:rsidR="002309A9" w:rsidRPr="00F9751C" w:rsidRDefault="0068150F" w:rsidP="002309A9">
          <w:pPr>
            <w:pStyle w:val="Huisstijl-Kopje"/>
          </w:pPr>
          <w:r>
            <w:t>Datum</w:t>
          </w:r>
        </w:p>
        <w:p w14:paraId="10641117" w14:textId="4B0B80A0" w:rsidR="002309A9" w:rsidRDefault="003E647C" w:rsidP="002309A9">
          <w:pPr>
            <w:pStyle w:val="Huisstijl-Gegeven"/>
          </w:pPr>
          <w:r>
            <w:t>24 juni</w:t>
          </w:r>
          <w:r w:rsidR="0068150F">
            <w:t xml:space="preserve"> 2026</w:t>
          </w:r>
        </w:p>
      </w:tc>
    </w:tr>
    <w:tr w:rsidR="00A87CBF" w14:paraId="7F035A20" w14:textId="77777777" w:rsidTr="00FE1EB4">
      <w:tc>
        <w:tcPr>
          <w:tcW w:w="2170" w:type="dxa"/>
        </w:tcPr>
        <w:p w14:paraId="46C5A319" w14:textId="77777777" w:rsidR="00FE1EB4" w:rsidRDefault="0068150F" w:rsidP="00FE1EB4">
          <w:pPr>
            <w:pStyle w:val="Huisstijl-Kopje"/>
          </w:pPr>
          <w:r>
            <w:t>Onze referentie</w:t>
          </w:r>
        </w:p>
        <w:p w14:paraId="270ED4B8" w14:textId="77777777" w:rsidR="00FE1EB4" w:rsidRDefault="00FE1EB4" w:rsidP="00FE1EB4">
          <w:pPr>
            <w:pStyle w:val="Huisstijl-Gegeven"/>
          </w:pPr>
        </w:p>
      </w:tc>
    </w:tr>
    <w:tr w:rsidR="00A87CBF" w14:paraId="34CCB9DB" w14:textId="77777777" w:rsidTr="00FE1EB4">
      <w:tc>
        <w:tcPr>
          <w:tcW w:w="2170" w:type="dxa"/>
        </w:tcPr>
        <w:p w14:paraId="3EA5822C" w14:textId="77777777" w:rsidR="002309A9" w:rsidRDefault="0068150F" w:rsidP="002309A9">
          <w:pPr>
            <w:pStyle w:val="Huisstijl-Kopje"/>
            <w:rPr>
              <w:rStyle w:val="Huisstijl-GegevenCharChar"/>
            </w:rPr>
          </w:pPr>
          <w:r>
            <w:rPr>
              <w:rStyle w:val="Huisstijl-GegevenCharChar"/>
            </w:rPr>
            <w:t>Auteur</w:t>
          </w:r>
        </w:p>
        <w:p w14:paraId="6E7FB842" w14:textId="53173C12" w:rsidR="00E9625B" w:rsidRPr="00F57887" w:rsidRDefault="00F22643" w:rsidP="00B274D1">
          <w:pPr>
            <w:pStyle w:val="Huisstijl-Gegeven"/>
          </w:pPr>
          <w:r>
            <w:rPr>
              <w:rStyle w:val="Huisstijl-GegevenCharChar"/>
            </w:rPr>
            <w:t>N</w:t>
          </w:r>
          <w:r w:rsidR="006A1CF7">
            <w:rPr>
              <w:rStyle w:val="Huisstijl-GegevenCharChar"/>
            </w:rPr>
            <w:t>a</w:t>
          </w:r>
          <w:r>
            <w:rPr>
              <w:rStyle w:val="Huisstijl-GegevenCharChar"/>
            </w:rPr>
            <w:t>tionaal Archief</w:t>
          </w:r>
          <w:r w:rsidR="0068150F" w:rsidRPr="00F57887">
            <w:t xml:space="preserve"> </w:t>
          </w:r>
        </w:p>
      </w:tc>
    </w:tr>
  </w:tbl>
  <w:p w14:paraId="2D02E665" w14:textId="77777777" w:rsidR="00DB4534" w:rsidRPr="00DB4534" w:rsidRDefault="00DB4534" w:rsidP="00DB4534">
    <w:pPr>
      <w:rPr>
        <w:vanish/>
      </w:rPr>
    </w:pPr>
  </w:p>
  <w:tbl>
    <w:tblPr>
      <w:tblW w:w="7520" w:type="dxa"/>
      <w:tblLayout w:type="fixed"/>
      <w:tblCellMar>
        <w:left w:w="0" w:type="dxa"/>
        <w:right w:w="0" w:type="dxa"/>
      </w:tblCellMar>
      <w:tblLook w:val="0000" w:firstRow="0" w:lastRow="0" w:firstColumn="0" w:lastColumn="0" w:noHBand="0" w:noVBand="0"/>
    </w:tblPr>
    <w:tblGrid>
      <w:gridCol w:w="2220"/>
      <w:gridCol w:w="5300"/>
    </w:tblGrid>
    <w:tr w:rsidR="00A87CBF" w14:paraId="2CDD2237" w14:textId="77777777" w:rsidTr="006F2833">
      <w:trPr>
        <w:trHeight w:val="336"/>
      </w:trPr>
      <w:tc>
        <w:tcPr>
          <w:tcW w:w="7520" w:type="dxa"/>
          <w:gridSpan w:val="2"/>
        </w:tcPr>
        <w:p w14:paraId="634D7061" w14:textId="77777777" w:rsidR="00B01C3A" w:rsidRPr="00B349FA" w:rsidRDefault="00B01C3A" w:rsidP="0073039E"/>
      </w:tc>
    </w:tr>
    <w:tr w:rsidR="00A87CBF" w14:paraId="69F9D97D" w14:textId="77777777" w:rsidTr="00EF2123">
      <w:trPr>
        <w:cantSplit/>
      </w:trPr>
      <w:tc>
        <w:tcPr>
          <w:tcW w:w="7520" w:type="dxa"/>
          <w:gridSpan w:val="2"/>
        </w:tcPr>
        <w:p w14:paraId="3A765DD0" w14:textId="77777777" w:rsidR="00B01C3A" w:rsidRDefault="00B01C3A" w:rsidP="002D3C2B">
          <w:pPr>
            <w:pStyle w:val="Huisstijl-Rubricering"/>
          </w:pPr>
        </w:p>
      </w:tc>
    </w:tr>
    <w:tr w:rsidR="00A87CBF" w14:paraId="2E1CA58F" w14:textId="77777777" w:rsidTr="00EF2123">
      <w:trPr>
        <w:cantSplit/>
        <w:trHeight w:hRule="exact" w:val="1758"/>
      </w:trPr>
      <w:tc>
        <w:tcPr>
          <w:tcW w:w="7520" w:type="dxa"/>
          <w:gridSpan w:val="2"/>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05"/>
          </w:tblGrid>
          <w:tr w:rsidR="00A87CBF" w14:paraId="3AE7DE90" w14:textId="77777777" w:rsidTr="00CD0456">
            <w:tc>
              <w:tcPr>
                <w:tcW w:w="7505" w:type="dxa"/>
              </w:tcPr>
              <w:p w14:paraId="311983F3" w14:textId="6F03EAE5" w:rsidR="0087734B" w:rsidRDefault="0087734B" w:rsidP="00CD0456"/>
            </w:tc>
          </w:tr>
          <w:tr w:rsidR="00A87CBF" w14:paraId="24ADC467" w14:textId="77777777" w:rsidTr="00CD0456">
            <w:tc>
              <w:tcPr>
                <w:tcW w:w="7505" w:type="dxa"/>
              </w:tcPr>
              <w:p w14:paraId="6C52199E" w14:textId="77777777" w:rsidR="0087734B" w:rsidRDefault="0068150F" w:rsidP="00CD0456">
                <w:pPr>
                  <w:pStyle w:val="Huisstijl-NAW"/>
                </w:pPr>
                <w:r>
                  <w:t xml:space="preserve"> </w:t>
                </w:r>
              </w:p>
            </w:tc>
          </w:tr>
          <w:tr w:rsidR="00A87CBF" w14:paraId="7470D708" w14:textId="77777777" w:rsidTr="00CD0456">
            <w:tc>
              <w:tcPr>
                <w:tcW w:w="7505" w:type="dxa"/>
              </w:tcPr>
              <w:p w14:paraId="39545C97" w14:textId="77777777" w:rsidR="0087734B" w:rsidRDefault="0068150F" w:rsidP="00CD0456">
                <w:pPr>
                  <w:pStyle w:val="Huisstijl-NAW"/>
                </w:pPr>
                <w:r>
                  <w:t xml:space="preserve"> </w:t>
                </w:r>
              </w:p>
            </w:tc>
          </w:tr>
        </w:tbl>
        <w:p w14:paraId="27F6475E" w14:textId="77777777" w:rsidR="00A87CBF" w:rsidRDefault="00A87CBF"/>
      </w:tc>
    </w:tr>
    <w:tr w:rsidR="00A87CBF" w14:paraId="7A17F08C" w14:textId="77777777" w:rsidTr="00EF2123">
      <w:trPr>
        <w:trHeight w:hRule="exact" w:val="454"/>
      </w:trPr>
      <w:tc>
        <w:tcPr>
          <w:tcW w:w="2220" w:type="dxa"/>
          <w:vMerge w:val="restart"/>
        </w:tcPr>
        <w:p w14:paraId="1C083292" w14:textId="77777777" w:rsidR="00B01C3A" w:rsidRDefault="0068150F" w:rsidP="0073039E">
          <w:r>
            <w:rPr>
              <w:noProof/>
              <w:lang w:val="en-US" w:eastAsia="en-US"/>
            </w:rPr>
            <w:drawing>
              <wp:inline distT="0" distB="0" distL="0" distR="0" wp14:anchorId="06AB91A4" wp14:editId="7EFEF926">
                <wp:extent cx="1209675" cy="533400"/>
                <wp:effectExtent l="0" t="0" r="0" b="0"/>
                <wp:docPr id="865993884" name="Picture 29" descr="Ver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9" descr="Versla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9675" cy="533400"/>
                        </a:xfrm>
                        <a:prstGeom prst="rect">
                          <a:avLst/>
                        </a:prstGeom>
                        <a:noFill/>
                        <a:ln>
                          <a:noFill/>
                        </a:ln>
                      </pic:spPr>
                    </pic:pic>
                  </a:graphicData>
                </a:graphic>
              </wp:inline>
            </w:drawing>
          </w:r>
        </w:p>
      </w:tc>
      <w:tc>
        <w:tcPr>
          <w:tcW w:w="5300" w:type="dxa"/>
        </w:tcPr>
        <w:p w14:paraId="0188D9CB" w14:textId="77777777" w:rsidR="00B01C3A" w:rsidRDefault="00B01C3A" w:rsidP="0073039E"/>
      </w:tc>
    </w:tr>
    <w:tr w:rsidR="00A87CBF" w14:paraId="468EBABB" w14:textId="77777777" w:rsidTr="0061442E">
      <w:trPr>
        <w:trHeight w:hRule="exact" w:val="737"/>
      </w:trPr>
      <w:tc>
        <w:tcPr>
          <w:tcW w:w="2220" w:type="dxa"/>
          <w:vMerge/>
        </w:tcPr>
        <w:p w14:paraId="037426B9" w14:textId="77777777" w:rsidR="00B01C3A" w:rsidRDefault="00B01C3A" w:rsidP="0073039E"/>
      </w:tc>
      <w:tc>
        <w:tcPr>
          <w:tcW w:w="5300" w:type="dxa"/>
        </w:tcPr>
        <w:p w14:paraId="435DE2E5" w14:textId="77777777" w:rsidR="0061442E" w:rsidRDefault="0061442E" w:rsidP="0073039E"/>
        <w:p w14:paraId="19FE299A" w14:textId="77777777" w:rsidR="003E647C" w:rsidRPr="003E647C" w:rsidRDefault="003E647C" w:rsidP="003E647C">
          <w:pPr>
            <w:jc w:val="center"/>
          </w:pPr>
        </w:p>
      </w:tc>
    </w:tr>
    <w:tr w:rsidR="00A87CBF" w14:paraId="509ED070" w14:textId="77777777" w:rsidTr="0073039E">
      <w:trPr>
        <w:trHeight w:val="238"/>
      </w:trPr>
      <w:tc>
        <w:tcPr>
          <w:tcW w:w="2220" w:type="dxa"/>
        </w:tcPr>
        <w:p w14:paraId="6C9E8434" w14:textId="77777777" w:rsidR="00B01C3A" w:rsidRDefault="0068150F" w:rsidP="0073039E">
          <w:pPr>
            <w:pStyle w:val="Huisstijl-Gegeven"/>
            <w:rPr>
              <w:noProof w:val="0"/>
            </w:rPr>
          </w:pPr>
          <w:r>
            <w:rPr>
              <w:noProof w:val="0"/>
            </w:rPr>
            <w:t>Omschrijving</w:t>
          </w:r>
        </w:p>
      </w:tc>
      <w:tc>
        <w:tcPr>
          <w:tcW w:w="5300" w:type="dxa"/>
        </w:tcPr>
        <w:p w14:paraId="1842AACA" w14:textId="77777777" w:rsidR="00B01C3A" w:rsidRDefault="0068150F" w:rsidP="0073039E">
          <w:r>
            <w:t>Beheergroep Handreiking Waardering en Selectie</w:t>
          </w:r>
        </w:p>
      </w:tc>
    </w:tr>
    <w:tr w:rsidR="00A87CBF" w14:paraId="7470FC5E" w14:textId="77777777" w:rsidTr="0073039E">
      <w:trPr>
        <w:trHeight w:val="238"/>
      </w:trPr>
      <w:tc>
        <w:tcPr>
          <w:tcW w:w="2220" w:type="dxa"/>
        </w:tcPr>
        <w:p w14:paraId="77AF3658" w14:textId="77777777" w:rsidR="00B01C3A" w:rsidRDefault="0068150F" w:rsidP="0073039E">
          <w:pPr>
            <w:pStyle w:val="Huisstijl-Gegeven"/>
            <w:rPr>
              <w:noProof w:val="0"/>
            </w:rPr>
          </w:pPr>
          <w:r>
            <w:rPr>
              <w:noProof w:val="0"/>
            </w:rPr>
            <w:t>Vergaderdatum en -tijd</w:t>
          </w:r>
        </w:p>
      </w:tc>
      <w:tc>
        <w:tcPr>
          <w:tcW w:w="5300" w:type="dxa"/>
        </w:tcPr>
        <w:p w14:paraId="17C4D01F" w14:textId="4CE71A4E" w:rsidR="00B01C3A" w:rsidRDefault="003E647C" w:rsidP="006E196B">
          <w:r>
            <w:t>24 juni</w:t>
          </w:r>
          <w:r w:rsidR="0068150F">
            <w:t xml:space="preserve"> 2026</w:t>
          </w:r>
          <w:r w:rsidR="00B74EF2">
            <w:t xml:space="preserve">, </w:t>
          </w:r>
          <w:r w:rsidR="0068150F">
            <w:t>1</w:t>
          </w:r>
          <w:r>
            <w:t>5</w:t>
          </w:r>
          <w:r w:rsidR="0068150F">
            <w:t>.00</w:t>
          </w:r>
          <w:r w:rsidR="006E196B">
            <w:t xml:space="preserve"> uur</w:t>
          </w:r>
        </w:p>
      </w:tc>
    </w:tr>
    <w:tr w:rsidR="00A87CBF" w14:paraId="6216846A" w14:textId="77777777" w:rsidTr="0073039E">
      <w:trPr>
        <w:trHeight w:val="238"/>
      </w:trPr>
      <w:tc>
        <w:tcPr>
          <w:tcW w:w="2220" w:type="dxa"/>
        </w:tcPr>
        <w:p w14:paraId="2D8E8A73" w14:textId="77777777" w:rsidR="00B01C3A" w:rsidRDefault="0068150F" w:rsidP="0073039E">
          <w:pPr>
            <w:pStyle w:val="Huisstijl-Gegeven"/>
            <w:rPr>
              <w:noProof w:val="0"/>
            </w:rPr>
          </w:pPr>
          <w:r>
            <w:rPr>
              <w:noProof w:val="0"/>
            </w:rPr>
            <w:t>Vergaderplaats</w:t>
          </w:r>
        </w:p>
      </w:tc>
      <w:tc>
        <w:tcPr>
          <w:tcW w:w="5300" w:type="dxa"/>
        </w:tcPr>
        <w:p w14:paraId="5062319F" w14:textId="2BA936D8" w:rsidR="00B01C3A" w:rsidRDefault="0068150F" w:rsidP="0073039E">
          <w:r>
            <w:t>Nationaal Archief, Den Haag</w:t>
          </w:r>
          <w:r w:rsidR="00CD742E">
            <w:t>, hybride</w:t>
          </w:r>
        </w:p>
      </w:tc>
    </w:tr>
    <w:tr w:rsidR="00A87CBF" w14:paraId="52B366CA" w14:textId="77777777" w:rsidTr="0073039E">
      <w:trPr>
        <w:trHeight w:val="238"/>
      </w:trPr>
      <w:tc>
        <w:tcPr>
          <w:tcW w:w="2220" w:type="dxa"/>
        </w:tcPr>
        <w:p w14:paraId="14E2C6AE" w14:textId="77777777" w:rsidR="002309A9" w:rsidRDefault="0068150F" w:rsidP="0073039E">
          <w:pPr>
            <w:pStyle w:val="Huisstijl-Gegeven"/>
            <w:rPr>
              <w:noProof w:val="0"/>
            </w:rPr>
          </w:pPr>
          <w:r>
            <w:rPr>
              <w:noProof w:val="0"/>
            </w:rPr>
            <w:t>Aanwezig</w:t>
          </w:r>
        </w:p>
      </w:tc>
      <w:tc>
        <w:tcPr>
          <w:tcW w:w="5300" w:type="dxa"/>
        </w:tcPr>
        <w:p w14:paraId="4560FB2C" w14:textId="595D6E89" w:rsidR="00A87CBF" w:rsidRDefault="0068150F">
          <w:r>
            <w:t>Belastingdienst</w:t>
          </w:r>
        </w:p>
        <w:p w14:paraId="349091C4" w14:textId="6EB597A4" w:rsidR="00A87CBF" w:rsidRDefault="0068150F">
          <w:r>
            <w:t>Stadsarchief Amsterdam</w:t>
          </w:r>
        </w:p>
        <w:p w14:paraId="35A33EF7" w14:textId="011716BD" w:rsidR="00A87CBF" w:rsidRDefault="0068150F" w:rsidP="006B333E">
          <w:r>
            <w:t>Nationaal Archief</w:t>
          </w:r>
          <w:r w:rsidR="006B333E">
            <w:t xml:space="preserve"> (</w:t>
          </w:r>
          <w:r w:rsidR="00322749">
            <w:t>voorzitter</w:t>
          </w:r>
          <w:r w:rsidR="006B333E">
            <w:t>,</w:t>
          </w:r>
          <w:r w:rsidR="00322749">
            <w:t xml:space="preserve"> auteur</w:t>
          </w:r>
          <w:r w:rsidR="002971B7">
            <w:t>, expert</w:t>
          </w:r>
          <w:r w:rsidR="006B333E">
            <w:t xml:space="preserve"> en </w:t>
          </w:r>
          <w:r w:rsidR="00322749">
            <w:t>notulist</w:t>
          </w:r>
          <w:r w:rsidR="006B333E">
            <w:t>)</w:t>
          </w:r>
        </w:p>
      </w:tc>
    </w:tr>
  </w:tbl>
  <w:p w14:paraId="477B4426" w14:textId="77777777" w:rsidR="00600B57" w:rsidRDefault="00600B57" w:rsidP="00044613">
    <w:pPr>
      <w:pStyle w:val="Koptekst"/>
    </w:pPr>
  </w:p>
  <w:p w14:paraId="5EF24DCE" w14:textId="77777777" w:rsidR="00890319" w:rsidRPr="00BC4AE3" w:rsidRDefault="00890319"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96ED3E">
      <w:start w:val="1"/>
      <w:numFmt w:val="bullet"/>
      <w:pStyle w:val="Lijstopsomteken"/>
      <w:lvlText w:val="•"/>
      <w:lvlJc w:val="left"/>
      <w:pPr>
        <w:tabs>
          <w:tab w:val="num" w:pos="227"/>
        </w:tabs>
        <w:ind w:left="227" w:hanging="227"/>
      </w:pPr>
      <w:rPr>
        <w:rFonts w:ascii="Verdana" w:hAnsi="Verdana" w:hint="default"/>
        <w:sz w:val="18"/>
        <w:szCs w:val="18"/>
      </w:rPr>
    </w:lvl>
    <w:lvl w:ilvl="1" w:tplc="0FA240AA" w:tentative="1">
      <w:start w:val="1"/>
      <w:numFmt w:val="bullet"/>
      <w:lvlText w:val="o"/>
      <w:lvlJc w:val="left"/>
      <w:pPr>
        <w:tabs>
          <w:tab w:val="num" w:pos="1440"/>
        </w:tabs>
        <w:ind w:left="1440" w:hanging="360"/>
      </w:pPr>
      <w:rPr>
        <w:rFonts w:ascii="Courier New" w:hAnsi="Courier New" w:cs="Courier New" w:hint="default"/>
      </w:rPr>
    </w:lvl>
    <w:lvl w:ilvl="2" w:tplc="472E03CE" w:tentative="1">
      <w:start w:val="1"/>
      <w:numFmt w:val="bullet"/>
      <w:lvlText w:val=""/>
      <w:lvlJc w:val="left"/>
      <w:pPr>
        <w:tabs>
          <w:tab w:val="num" w:pos="2160"/>
        </w:tabs>
        <w:ind w:left="2160" w:hanging="360"/>
      </w:pPr>
      <w:rPr>
        <w:rFonts w:ascii="Wingdings" w:hAnsi="Wingdings" w:hint="default"/>
      </w:rPr>
    </w:lvl>
    <w:lvl w:ilvl="3" w:tplc="34A4FFD6" w:tentative="1">
      <w:start w:val="1"/>
      <w:numFmt w:val="bullet"/>
      <w:lvlText w:val=""/>
      <w:lvlJc w:val="left"/>
      <w:pPr>
        <w:tabs>
          <w:tab w:val="num" w:pos="2880"/>
        </w:tabs>
        <w:ind w:left="2880" w:hanging="360"/>
      </w:pPr>
      <w:rPr>
        <w:rFonts w:ascii="Symbol" w:hAnsi="Symbol" w:hint="default"/>
      </w:rPr>
    </w:lvl>
    <w:lvl w:ilvl="4" w:tplc="54C6C626" w:tentative="1">
      <w:start w:val="1"/>
      <w:numFmt w:val="bullet"/>
      <w:lvlText w:val="o"/>
      <w:lvlJc w:val="left"/>
      <w:pPr>
        <w:tabs>
          <w:tab w:val="num" w:pos="3600"/>
        </w:tabs>
        <w:ind w:left="3600" w:hanging="360"/>
      </w:pPr>
      <w:rPr>
        <w:rFonts w:ascii="Courier New" w:hAnsi="Courier New" w:cs="Courier New" w:hint="default"/>
      </w:rPr>
    </w:lvl>
    <w:lvl w:ilvl="5" w:tplc="43A4450A" w:tentative="1">
      <w:start w:val="1"/>
      <w:numFmt w:val="bullet"/>
      <w:lvlText w:val=""/>
      <w:lvlJc w:val="left"/>
      <w:pPr>
        <w:tabs>
          <w:tab w:val="num" w:pos="4320"/>
        </w:tabs>
        <w:ind w:left="4320" w:hanging="360"/>
      </w:pPr>
      <w:rPr>
        <w:rFonts w:ascii="Wingdings" w:hAnsi="Wingdings" w:hint="default"/>
      </w:rPr>
    </w:lvl>
    <w:lvl w:ilvl="6" w:tplc="E0CA3AF4" w:tentative="1">
      <w:start w:val="1"/>
      <w:numFmt w:val="bullet"/>
      <w:lvlText w:val=""/>
      <w:lvlJc w:val="left"/>
      <w:pPr>
        <w:tabs>
          <w:tab w:val="num" w:pos="5040"/>
        </w:tabs>
        <w:ind w:left="5040" w:hanging="360"/>
      </w:pPr>
      <w:rPr>
        <w:rFonts w:ascii="Symbol" w:hAnsi="Symbol" w:hint="default"/>
      </w:rPr>
    </w:lvl>
    <w:lvl w:ilvl="7" w:tplc="1D78C688" w:tentative="1">
      <w:start w:val="1"/>
      <w:numFmt w:val="bullet"/>
      <w:lvlText w:val="o"/>
      <w:lvlJc w:val="left"/>
      <w:pPr>
        <w:tabs>
          <w:tab w:val="num" w:pos="5760"/>
        </w:tabs>
        <w:ind w:left="5760" w:hanging="360"/>
      </w:pPr>
      <w:rPr>
        <w:rFonts w:ascii="Courier New" w:hAnsi="Courier New" w:cs="Courier New" w:hint="default"/>
      </w:rPr>
    </w:lvl>
    <w:lvl w:ilvl="8" w:tplc="D36E9A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06393"/>
    <w:multiLevelType w:val="multilevel"/>
    <w:tmpl w:val="EE4C9750"/>
    <w:styleLink w:val="Nummeringagenda"/>
    <w:lvl w:ilvl="0">
      <w:start w:val="1"/>
      <w:numFmt w:val="decimal"/>
      <w:lvlText w:val="%1."/>
      <w:lvlJc w:val="left"/>
      <w:pPr>
        <w:tabs>
          <w:tab w:val="num" w:pos="720"/>
        </w:tabs>
        <w:ind w:left="720" w:hanging="360"/>
      </w:pPr>
      <w:rPr>
        <w:rFonts w:ascii="Verdana" w:hAnsi="Verdana" w:cs="Times New Roman" w:hint="default"/>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4FA11F4">
      <w:start w:val="1"/>
      <w:numFmt w:val="bullet"/>
      <w:pStyle w:val="Lijstopsomteken2"/>
      <w:lvlText w:val="–"/>
      <w:lvlJc w:val="left"/>
      <w:pPr>
        <w:tabs>
          <w:tab w:val="num" w:pos="227"/>
        </w:tabs>
        <w:ind w:left="227" w:firstLine="0"/>
      </w:pPr>
      <w:rPr>
        <w:rFonts w:ascii="Verdana" w:hAnsi="Verdana" w:hint="default"/>
      </w:rPr>
    </w:lvl>
    <w:lvl w:ilvl="1" w:tplc="37FAFA72" w:tentative="1">
      <w:start w:val="1"/>
      <w:numFmt w:val="bullet"/>
      <w:lvlText w:val="o"/>
      <w:lvlJc w:val="left"/>
      <w:pPr>
        <w:tabs>
          <w:tab w:val="num" w:pos="1440"/>
        </w:tabs>
        <w:ind w:left="1440" w:hanging="360"/>
      </w:pPr>
      <w:rPr>
        <w:rFonts w:ascii="Courier New" w:hAnsi="Courier New" w:cs="Courier New" w:hint="default"/>
      </w:rPr>
    </w:lvl>
    <w:lvl w:ilvl="2" w:tplc="89F0211C" w:tentative="1">
      <w:start w:val="1"/>
      <w:numFmt w:val="bullet"/>
      <w:lvlText w:val=""/>
      <w:lvlJc w:val="left"/>
      <w:pPr>
        <w:tabs>
          <w:tab w:val="num" w:pos="2160"/>
        </w:tabs>
        <w:ind w:left="2160" w:hanging="360"/>
      </w:pPr>
      <w:rPr>
        <w:rFonts w:ascii="Wingdings" w:hAnsi="Wingdings" w:hint="default"/>
      </w:rPr>
    </w:lvl>
    <w:lvl w:ilvl="3" w:tplc="878EBE84" w:tentative="1">
      <w:start w:val="1"/>
      <w:numFmt w:val="bullet"/>
      <w:lvlText w:val=""/>
      <w:lvlJc w:val="left"/>
      <w:pPr>
        <w:tabs>
          <w:tab w:val="num" w:pos="2880"/>
        </w:tabs>
        <w:ind w:left="2880" w:hanging="360"/>
      </w:pPr>
      <w:rPr>
        <w:rFonts w:ascii="Symbol" w:hAnsi="Symbol" w:hint="default"/>
      </w:rPr>
    </w:lvl>
    <w:lvl w:ilvl="4" w:tplc="592A2A04" w:tentative="1">
      <w:start w:val="1"/>
      <w:numFmt w:val="bullet"/>
      <w:lvlText w:val="o"/>
      <w:lvlJc w:val="left"/>
      <w:pPr>
        <w:tabs>
          <w:tab w:val="num" w:pos="3600"/>
        </w:tabs>
        <w:ind w:left="3600" w:hanging="360"/>
      </w:pPr>
      <w:rPr>
        <w:rFonts w:ascii="Courier New" w:hAnsi="Courier New" w:cs="Courier New" w:hint="default"/>
      </w:rPr>
    </w:lvl>
    <w:lvl w:ilvl="5" w:tplc="53C28F78" w:tentative="1">
      <w:start w:val="1"/>
      <w:numFmt w:val="bullet"/>
      <w:lvlText w:val=""/>
      <w:lvlJc w:val="left"/>
      <w:pPr>
        <w:tabs>
          <w:tab w:val="num" w:pos="4320"/>
        </w:tabs>
        <w:ind w:left="4320" w:hanging="360"/>
      </w:pPr>
      <w:rPr>
        <w:rFonts w:ascii="Wingdings" w:hAnsi="Wingdings" w:hint="default"/>
      </w:rPr>
    </w:lvl>
    <w:lvl w:ilvl="6" w:tplc="595467E2" w:tentative="1">
      <w:start w:val="1"/>
      <w:numFmt w:val="bullet"/>
      <w:lvlText w:val=""/>
      <w:lvlJc w:val="left"/>
      <w:pPr>
        <w:tabs>
          <w:tab w:val="num" w:pos="5040"/>
        </w:tabs>
        <w:ind w:left="5040" w:hanging="360"/>
      </w:pPr>
      <w:rPr>
        <w:rFonts w:ascii="Symbol" w:hAnsi="Symbol" w:hint="default"/>
      </w:rPr>
    </w:lvl>
    <w:lvl w:ilvl="7" w:tplc="AF46C760" w:tentative="1">
      <w:start w:val="1"/>
      <w:numFmt w:val="bullet"/>
      <w:lvlText w:val="o"/>
      <w:lvlJc w:val="left"/>
      <w:pPr>
        <w:tabs>
          <w:tab w:val="num" w:pos="5760"/>
        </w:tabs>
        <w:ind w:left="5760" w:hanging="360"/>
      </w:pPr>
      <w:rPr>
        <w:rFonts w:ascii="Courier New" w:hAnsi="Courier New" w:cs="Courier New" w:hint="default"/>
      </w:rPr>
    </w:lvl>
    <w:lvl w:ilvl="8" w:tplc="33C8C5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3358C"/>
    <w:multiLevelType w:val="hybridMultilevel"/>
    <w:tmpl w:val="2B9A0B16"/>
    <w:lvl w:ilvl="0" w:tplc="08B69D4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CF114F"/>
    <w:multiLevelType w:val="hybridMultilevel"/>
    <w:tmpl w:val="5896C636"/>
    <w:lvl w:ilvl="0" w:tplc="358C8604">
      <w:start w:val="1"/>
      <w:numFmt w:val="decimal"/>
      <w:lvlText w:val="%1."/>
      <w:lvlJc w:val="left"/>
      <w:pPr>
        <w:tabs>
          <w:tab w:val="num" w:pos="720"/>
        </w:tabs>
        <w:ind w:left="720" w:hanging="360"/>
      </w:pPr>
    </w:lvl>
    <w:lvl w:ilvl="1" w:tplc="D416D596" w:tentative="1">
      <w:start w:val="1"/>
      <w:numFmt w:val="lowerLetter"/>
      <w:lvlText w:val="%2."/>
      <w:lvlJc w:val="left"/>
      <w:pPr>
        <w:tabs>
          <w:tab w:val="num" w:pos="1440"/>
        </w:tabs>
        <w:ind w:left="1440" w:hanging="360"/>
      </w:pPr>
    </w:lvl>
    <w:lvl w:ilvl="2" w:tplc="774640DC" w:tentative="1">
      <w:start w:val="1"/>
      <w:numFmt w:val="lowerRoman"/>
      <w:lvlText w:val="%3."/>
      <w:lvlJc w:val="right"/>
      <w:pPr>
        <w:tabs>
          <w:tab w:val="num" w:pos="2160"/>
        </w:tabs>
        <w:ind w:left="2160" w:hanging="180"/>
      </w:pPr>
    </w:lvl>
    <w:lvl w:ilvl="3" w:tplc="858E1ED8" w:tentative="1">
      <w:start w:val="1"/>
      <w:numFmt w:val="decimal"/>
      <w:lvlText w:val="%4."/>
      <w:lvlJc w:val="left"/>
      <w:pPr>
        <w:tabs>
          <w:tab w:val="num" w:pos="2880"/>
        </w:tabs>
        <w:ind w:left="2880" w:hanging="360"/>
      </w:pPr>
    </w:lvl>
    <w:lvl w:ilvl="4" w:tplc="8CBC7756" w:tentative="1">
      <w:start w:val="1"/>
      <w:numFmt w:val="lowerLetter"/>
      <w:lvlText w:val="%5."/>
      <w:lvlJc w:val="left"/>
      <w:pPr>
        <w:tabs>
          <w:tab w:val="num" w:pos="3600"/>
        </w:tabs>
        <w:ind w:left="3600" w:hanging="360"/>
      </w:pPr>
    </w:lvl>
    <w:lvl w:ilvl="5" w:tplc="B59A743A" w:tentative="1">
      <w:start w:val="1"/>
      <w:numFmt w:val="lowerRoman"/>
      <w:lvlText w:val="%6."/>
      <w:lvlJc w:val="right"/>
      <w:pPr>
        <w:tabs>
          <w:tab w:val="num" w:pos="4320"/>
        </w:tabs>
        <w:ind w:left="4320" w:hanging="180"/>
      </w:pPr>
    </w:lvl>
    <w:lvl w:ilvl="6" w:tplc="5484B2FE" w:tentative="1">
      <w:start w:val="1"/>
      <w:numFmt w:val="decimal"/>
      <w:lvlText w:val="%7."/>
      <w:lvlJc w:val="left"/>
      <w:pPr>
        <w:tabs>
          <w:tab w:val="num" w:pos="5040"/>
        </w:tabs>
        <w:ind w:left="5040" w:hanging="360"/>
      </w:pPr>
    </w:lvl>
    <w:lvl w:ilvl="7" w:tplc="4FBAE23A" w:tentative="1">
      <w:start w:val="1"/>
      <w:numFmt w:val="lowerLetter"/>
      <w:lvlText w:val="%8."/>
      <w:lvlJc w:val="left"/>
      <w:pPr>
        <w:tabs>
          <w:tab w:val="num" w:pos="5760"/>
        </w:tabs>
        <w:ind w:left="5760" w:hanging="360"/>
      </w:pPr>
    </w:lvl>
    <w:lvl w:ilvl="8" w:tplc="6BD078E8" w:tentative="1">
      <w:start w:val="1"/>
      <w:numFmt w:val="lowerRoman"/>
      <w:lvlText w:val="%9."/>
      <w:lvlJc w:val="right"/>
      <w:pPr>
        <w:tabs>
          <w:tab w:val="num" w:pos="6480"/>
        </w:tabs>
        <w:ind w:left="6480" w:hanging="180"/>
      </w:pPr>
    </w:lvl>
  </w:abstractNum>
  <w:abstractNum w:abstractNumId="17" w15:restartNumberingAfterBreak="0">
    <w:nsid w:val="6047410D"/>
    <w:multiLevelType w:val="hybridMultilevel"/>
    <w:tmpl w:val="A4828BF2"/>
    <w:lvl w:ilvl="0" w:tplc="049043F6">
      <w:start w:val="1"/>
      <w:numFmt w:val="decimal"/>
      <w:lvlText w:val="%1."/>
      <w:lvlJc w:val="left"/>
      <w:pPr>
        <w:tabs>
          <w:tab w:val="num" w:pos="720"/>
        </w:tabs>
        <w:ind w:left="720" w:hanging="360"/>
      </w:pPr>
    </w:lvl>
    <w:lvl w:ilvl="1" w:tplc="8F8C6C9C" w:tentative="1">
      <w:start w:val="1"/>
      <w:numFmt w:val="lowerLetter"/>
      <w:lvlText w:val="%2."/>
      <w:lvlJc w:val="left"/>
      <w:pPr>
        <w:tabs>
          <w:tab w:val="num" w:pos="1440"/>
        </w:tabs>
        <w:ind w:left="1440" w:hanging="360"/>
      </w:pPr>
    </w:lvl>
    <w:lvl w:ilvl="2" w:tplc="32426566" w:tentative="1">
      <w:start w:val="1"/>
      <w:numFmt w:val="lowerRoman"/>
      <w:lvlText w:val="%3."/>
      <w:lvlJc w:val="right"/>
      <w:pPr>
        <w:tabs>
          <w:tab w:val="num" w:pos="2160"/>
        </w:tabs>
        <w:ind w:left="2160" w:hanging="180"/>
      </w:pPr>
    </w:lvl>
    <w:lvl w:ilvl="3" w:tplc="99860F8A" w:tentative="1">
      <w:start w:val="1"/>
      <w:numFmt w:val="decimal"/>
      <w:lvlText w:val="%4."/>
      <w:lvlJc w:val="left"/>
      <w:pPr>
        <w:tabs>
          <w:tab w:val="num" w:pos="2880"/>
        </w:tabs>
        <w:ind w:left="2880" w:hanging="360"/>
      </w:pPr>
    </w:lvl>
    <w:lvl w:ilvl="4" w:tplc="770A5B36" w:tentative="1">
      <w:start w:val="1"/>
      <w:numFmt w:val="lowerLetter"/>
      <w:lvlText w:val="%5."/>
      <w:lvlJc w:val="left"/>
      <w:pPr>
        <w:tabs>
          <w:tab w:val="num" w:pos="3600"/>
        </w:tabs>
        <w:ind w:left="3600" w:hanging="360"/>
      </w:pPr>
    </w:lvl>
    <w:lvl w:ilvl="5" w:tplc="9B4ADE58" w:tentative="1">
      <w:start w:val="1"/>
      <w:numFmt w:val="lowerRoman"/>
      <w:lvlText w:val="%6."/>
      <w:lvlJc w:val="right"/>
      <w:pPr>
        <w:tabs>
          <w:tab w:val="num" w:pos="4320"/>
        </w:tabs>
        <w:ind w:left="4320" w:hanging="180"/>
      </w:pPr>
    </w:lvl>
    <w:lvl w:ilvl="6" w:tplc="7F06AC6A" w:tentative="1">
      <w:start w:val="1"/>
      <w:numFmt w:val="decimal"/>
      <w:lvlText w:val="%7."/>
      <w:lvlJc w:val="left"/>
      <w:pPr>
        <w:tabs>
          <w:tab w:val="num" w:pos="5040"/>
        </w:tabs>
        <w:ind w:left="5040" w:hanging="360"/>
      </w:pPr>
    </w:lvl>
    <w:lvl w:ilvl="7" w:tplc="06CAB25C" w:tentative="1">
      <w:start w:val="1"/>
      <w:numFmt w:val="lowerLetter"/>
      <w:lvlText w:val="%8."/>
      <w:lvlJc w:val="left"/>
      <w:pPr>
        <w:tabs>
          <w:tab w:val="num" w:pos="5760"/>
        </w:tabs>
        <w:ind w:left="5760" w:hanging="360"/>
      </w:pPr>
    </w:lvl>
    <w:lvl w:ilvl="8" w:tplc="FF2E1A46" w:tentative="1">
      <w:start w:val="1"/>
      <w:numFmt w:val="lowerRoman"/>
      <w:lvlText w:val="%9."/>
      <w:lvlJc w:val="right"/>
      <w:pPr>
        <w:tabs>
          <w:tab w:val="num" w:pos="6480"/>
        </w:tabs>
        <w:ind w:left="6480" w:hanging="180"/>
      </w:pPr>
    </w:lvl>
  </w:abstractNum>
  <w:abstractNum w:abstractNumId="18" w15:restartNumberingAfterBreak="0">
    <w:nsid w:val="7D4A4B2F"/>
    <w:multiLevelType w:val="multilevel"/>
    <w:tmpl w:val="EE4C9750"/>
    <w:numStyleLink w:val="Nummeringagenda"/>
  </w:abstractNum>
  <w:abstractNum w:abstractNumId="19" w15:restartNumberingAfterBreak="0">
    <w:nsid w:val="7F3F6F3A"/>
    <w:multiLevelType w:val="hybridMultilevel"/>
    <w:tmpl w:val="91107492"/>
    <w:lvl w:ilvl="0" w:tplc="31223CD6">
      <w:start w:val="1"/>
      <w:numFmt w:val="bullet"/>
      <w:lvlText w:val=""/>
      <w:lvlJc w:val="left"/>
      <w:pPr>
        <w:ind w:left="720" w:hanging="360"/>
      </w:pPr>
      <w:rPr>
        <w:rFonts w:ascii="Symbol" w:hAnsi="Symbol" w:hint="default"/>
      </w:rPr>
    </w:lvl>
    <w:lvl w:ilvl="1" w:tplc="4B5C7CBC" w:tentative="1">
      <w:start w:val="1"/>
      <w:numFmt w:val="bullet"/>
      <w:lvlText w:val="o"/>
      <w:lvlJc w:val="left"/>
      <w:pPr>
        <w:ind w:left="1440" w:hanging="360"/>
      </w:pPr>
      <w:rPr>
        <w:rFonts w:ascii="Courier New" w:hAnsi="Courier New" w:cs="Courier New" w:hint="default"/>
      </w:rPr>
    </w:lvl>
    <w:lvl w:ilvl="2" w:tplc="BE3A40E4" w:tentative="1">
      <w:start w:val="1"/>
      <w:numFmt w:val="bullet"/>
      <w:lvlText w:val=""/>
      <w:lvlJc w:val="left"/>
      <w:pPr>
        <w:ind w:left="2160" w:hanging="360"/>
      </w:pPr>
      <w:rPr>
        <w:rFonts w:ascii="Wingdings" w:hAnsi="Wingdings" w:hint="default"/>
      </w:rPr>
    </w:lvl>
    <w:lvl w:ilvl="3" w:tplc="EE5CD3E4" w:tentative="1">
      <w:start w:val="1"/>
      <w:numFmt w:val="bullet"/>
      <w:lvlText w:val=""/>
      <w:lvlJc w:val="left"/>
      <w:pPr>
        <w:ind w:left="2880" w:hanging="360"/>
      </w:pPr>
      <w:rPr>
        <w:rFonts w:ascii="Symbol" w:hAnsi="Symbol" w:hint="default"/>
      </w:rPr>
    </w:lvl>
    <w:lvl w:ilvl="4" w:tplc="735C01E2" w:tentative="1">
      <w:start w:val="1"/>
      <w:numFmt w:val="bullet"/>
      <w:lvlText w:val="o"/>
      <w:lvlJc w:val="left"/>
      <w:pPr>
        <w:ind w:left="3600" w:hanging="360"/>
      </w:pPr>
      <w:rPr>
        <w:rFonts w:ascii="Courier New" w:hAnsi="Courier New" w:cs="Courier New" w:hint="default"/>
      </w:rPr>
    </w:lvl>
    <w:lvl w:ilvl="5" w:tplc="7A1867D0" w:tentative="1">
      <w:start w:val="1"/>
      <w:numFmt w:val="bullet"/>
      <w:lvlText w:val=""/>
      <w:lvlJc w:val="left"/>
      <w:pPr>
        <w:ind w:left="4320" w:hanging="360"/>
      </w:pPr>
      <w:rPr>
        <w:rFonts w:ascii="Wingdings" w:hAnsi="Wingdings" w:hint="default"/>
      </w:rPr>
    </w:lvl>
    <w:lvl w:ilvl="6" w:tplc="F96439BA" w:tentative="1">
      <w:start w:val="1"/>
      <w:numFmt w:val="bullet"/>
      <w:lvlText w:val=""/>
      <w:lvlJc w:val="left"/>
      <w:pPr>
        <w:ind w:left="5040" w:hanging="360"/>
      </w:pPr>
      <w:rPr>
        <w:rFonts w:ascii="Symbol" w:hAnsi="Symbol" w:hint="default"/>
      </w:rPr>
    </w:lvl>
    <w:lvl w:ilvl="7" w:tplc="E754292A" w:tentative="1">
      <w:start w:val="1"/>
      <w:numFmt w:val="bullet"/>
      <w:lvlText w:val="o"/>
      <w:lvlJc w:val="left"/>
      <w:pPr>
        <w:ind w:left="5760" w:hanging="360"/>
      </w:pPr>
      <w:rPr>
        <w:rFonts w:ascii="Courier New" w:hAnsi="Courier New" w:cs="Courier New" w:hint="default"/>
      </w:rPr>
    </w:lvl>
    <w:lvl w:ilvl="8" w:tplc="BB543EE0" w:tentative="1">
      <w:start w:val="1"/>
      <w:numFmt w:val="bullet"/>
      <w:lvlText w:val=""/>
      <w:lvlJc w:val="left"/>
      <w:pPr>
        <w:ind w:left="6480" w:hanging="360"/>
      </w:pPr>
      <w:rPr>
        <w:rFonts w:ascii="Wingdings" w:hAnsi="Wingdings" w:hint="default"/>
      </w:rPr>
    </w:lvl>
  </w:abstractNum>
  <w:num w:numId="1" w16cid:durableId="293558683">
    <w:abstractNumId w:val="10"/>
  </w:num>
  <w:num w:numId="2" w16cid:durableId="2011179919">
    <w:abstractNumId w:val="7"/>
  </w:num>
  <w:num w:numId="3" w16cid:durableId="114452803">
    <w:abstractNumId w:val="6"/>
  </w:num>
  <w:num w:numId="4" w16cid:durableId="1606574608">
    <w:abstractNumId w:val="5"/>
  </w:num>
  <w:num w:numId="5" w16cid:durableId="186138729">
    <w:abstractNumId w:val="4"/>
  </w:num>
  <w:num w:numId="6" w16cid:durableId="1914700899">
    <w:abstractNumId w:val="8"/>
  </w:num>
  <w:num w:numId="7" w16cid:durableId="393698594">
    <w:abstractNumId w:val="3"/>
  </w:num>
  <w:num w:numId="8" w16cid:durableId="854611806">
    <w:abstractNumId w:val="2"/>
  </w:num>
  <w:num w:numId="9" w16cid:durableId="429931146">
    <w:abstractNumId w:val="1"/>
  </w:num>
  <w:num w:numId="10" w16cid:durableId="648872529">
    <w:abstractNumId w:val="0"/>
  </w:num>
  <w:num w:numId="11" w16cid:durableId="464085374">
    <w:abstractNumId w:val="9"/>
  </w:num>
  <w:num w:numId="12" w16cid:durableId="519507477">
    <w:abstractNumId w:val="12"/>
  </w:num>
  <w:num w:numId="13" w16cid:durableId="265230475">
    <w:abstractNumId w:val="14"/>
  </w:num>
  <w:num w:numId="14" w16cid:durableId="1421826556">
    <w:abstractNumId w:val="13"/>
  </w:num>
  <w:num w:numId="15" w16cid:durableId="41097626">
    <w:abstractNumId w:val="16"/>
  </w:num>
  <w:num w:numId="16" w16cid:durableId="661618113">
    <w:abstractNumId w:val="17"/>
  </w:num>
  <w:num w:numId="17" w16cid:durableId="1589844384">
    <w:abstractNumId w:val="11"/>
  </w:num>
  <w:num w:numId="18" w16cid:durableId="30955715">
    <w:abstractNumId w:val="18"/>
  </w:num>
  <w:num w:numId="19" w16cid:durableId="1654873727">
    <w:abstractNumId w:val="19"/>
  </w:num>
  <w:num w:numId="20" w16cid:durableId="47981063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4F"/>
    <w:rsid w:val="000104C9"/>
    <w:rsid w:val="00013862"/>
    <w:rsid w:val="00016012"/>
    <w:rsid w:val="00020189"/>
    <w:rsid w:val="00020EE4"/>
    <w:rsid w:val="00023E9A"/>
    <w:rsid w:val="00034A84"/>
    <w:rsid w:val="0003586B"/>
    <w:rsid w:val="00035E67"/>
    <w:rsid w:val="000366F3"/>
    <w:rsid w:val="00041ABE"/>
    <w:rsid w:val="00041DB5"/>
    <w:rsid w:val="00044613"/>
    <w:rsid w:val="00066D75"/>
    <w:rsid w:val="00071F28"/>
    <w:rsid w:val="0007250C"/>
    <w:rsid w:val="00074079"/>
    <w:rsid w:val="00086AF6"/>
    <w:rsid w:val="00092799"/>
    <w:rsid w:val="00092C5F"/>
    <w:rsid w:val="00096680"/>
    <w:rsid w:val="000A174A"/>
    <w:rsid w:val="000A3DEA"/>
    <w:rsid w:val="000A3E0A"/>
    <w:rsid w:val="000A4AD7"/>
    <w:rsid w:val="000A5EFE"/>
    <w:rsid w:val="000A65AC"/>
    <w:rsid w:val="000A7858"/>
    <w:rsid w:val="000B2698"/>
    <w:rsid w:val="000B7281"/>
    <w:rsid w:val="000B7FAB"/>
    <w:rsid w:val="000C3EA9"/>
    <w:rsid w:val="000C4C37"/>
    <w:rsid w:val="000C5E27"/>
    <w:rsid w:val="000C7E09"/>
    <w:rsid w:val="000D0225"/>
    <w:rsid w:val="000D119D"/>
    <w:rsid w:val="000D734F"/>
    <w:rsid w:val="000E14E6"/>
    <w:rsid w:val="000E1C01"/>
    <w:rsid w:val="000E57E2"/>
    <w:rsid w:val="000F161D"/>
    <w:rsid w:val="000F4061"/>
    <w:rsid w:val="000F51CD"/>
    <w:rsid w:val="000F67F0"/>
    <w:rsid w:val="0010145F"/>
    <w:rsid w:val="00111DF0"/>
    <w:rsid w:val="00114B17"/>
    <w:rsid w:val="00121ADE"/>
    <w:rsid w:val="00123704"/>
    <w:rsid w:val="00125F77"/>
    <w:rsid w:val="001270C7"/>
    <w:rsid w:val="00131BB4"/>
    <w:rsid w:val="00132540"/>
    <w:rsid w:val="001352E9"/>
    <w:rsid w:val="001379E5"/>
    <w:rsid w:val="0014786A"/>
    <w:rsid w:val="001504F0"/>
    <w:rsid w:val="001516A4"/>
    <w:rsid w:val="00151E5F"/>
    <w:rsid w:val="001553FE"/>
    <w:rsid w:val="001569AB"/>
    <w:rsid w:val="001612F5"/>
    <w:rsid w:val="001645E9"/>
    <w:rsid w:val="00164D83"/>
    <w:rsid w:val="00165207"/>
    <w:rsid w:val="0016624A"/>
    <w:rsid w:val="001678FF"/>
    <w:rsid w:val="001726F3"/>
    <w:rsid w:val="00174CC2"/>
    <w:rsid w:val="00176CC6"/>
    <w:rsid w:val="00180916"/>
    <w:rsid w:val="00181BE4"/>
    <w:rsid w:val="001831E1"/>
    <w:rsid w:val="00184175"/>
    <w:rsid w:val="00184454"/>
    <w:rsid w:val="00185576"/>
    <w:rsid w:val="00185935"/>
    <w:rsid w:val="00185951"/>
    <w:rsid w:val="00187C04"/>
    <w:rsid w:val="0019436E"/>
    <w:rsid w:val="00196B8B"/>
    <w:rsid w:val="001A2BEA"/>
    <w:rsid w:val="001A6D93"/>
    <w:rsid w:val="001B11BB"/>
    <w:rsid w:val="001B3E9E"/>
    <w:rsid w:val="001C32EC"/>
    <w:rsid w:val="001C4D5A"/>
    <w:rsid w:val="001C550B"/>
    <w:rsid w:val="001C6250"/>
    <w:rsid w:val="001D1C69"/>
    <w:rsid w:val="001D1D64"/>
    <w:rsid w:val="001D69B0"/>
    <w:rsid w:val="001D6A0C"/>
    <w:rsid w:val="001E0A39"/>
    <w:rsid w:val="001E34C6"/>
    <w:rsid w:val="001E4B2C"/>
    <w:rsid w:val="001E4C6B"/>
    <w:rsid w:val="001E5581"/>
    <w:rsid w:val="001F3C70"/>
    <w:rsid w:val="00200D88"/>
    <w:rsid w:val="00201F68"/>
    <w:rsid w:val="00205B1C"/>
    <w:rsid w:val="0021116F"/>
    <w:rsid w:val="00212F2A"/>
    <w:rsid w:val="002134BF"/>
    <w:rsid w:val="00214F2B"/>
    <w:rsid w:val="00216BC2"/>
    <w:rsid w:val="00217880"/>
    <w:rsid w:val="00220DAC"/>
    <w:rsid w:val="00222303"/>
    <w:rsid w:val="002309A8"/>
    <w:rsid w:val="002309A9"/>
    <w:rsid w:val="00236CFE"/>
    <w:rsid w:val="00237C0C"/>
    <w:rsid w:val="00240B63"/>
    <w:rsid w:val="00241498"/>
    <w:rsid w:val="002428E3"/>
    <w:rsid w:val="00260BAF"/>
    <w:rsid w:val="0026208B"/>
    <w:rsid w:val="0026395E"/>
    <w:rsid w:val="002650F7"/>
    <w:rsid w:val="00273F3B"/>
    <w:rsid w:val="0027401A"/>
    <w:rsid w:val="00274DB7"/>
    <w:rsid w:val="00275984"/>
    <w:rsid w:val="00280F74"/>
    <w:rsid w:val="00283654"/>
    <w:rsid w:val="0028628B"/>
    <w:rsid w:val="00286998"/>
    <w:rsid w:val="00291AB7"/>
    <w:rsid w:val="0029422B"/>
    <w:rsid w:val="002971B7"/>
    <w:rsid w:val="002A0384"/>
    <w:rsid w:val="002A4E76"/>
    <w:rsid w:val="002A52FE"/>
    <w:rsid w:val="002B153C"/>
    <w:rsid w:val="002C1738"/>
    <w:rsid w:val="002C2830"/>
    <w:rsid w:val="002C3A0F"/>
    <w:rsid w:val="002C533C"/>
    <w:rsid w:val="002C6965"/>
    <w:rsid w:val="002D001A"/>
    <w:rsid w:val="002D26AB"/>
    <w:rsid w:val="002D317B"/>
    <w:rsid w:val="002D3587"/>
    <w:rsid w:val="002D3C2B"/>
    <w:rsid w:val="002D502D"/>
    <w:rsid w:val="002D6A5F"/>
    <w:rsid w:val="002D71E2"/>
    <w:rsid w:val="002E0F69"/>
    <w:rsid w:val="002E120D"/>
    <w:rsid w:val="002E2209"/>
    <w:rsid w:val="002F0DB7"/>
    <w:rsid w:val="002F39A6"/>
    <w:rsid w:val="002F5147"/>
    <w:rsid w:val="002F7084"/>
    <w:rsid w:val="00300A1B"/>
    <w:rsid w:val="00312597"/>
    <w:rsid w:val="00314870"/>
    <w:rsid w:val="00322749"/>
    <w:rsid w:val="003256E8"/>
    <w:rsid w:val="003338D0"/>
    <w:rsid w:val="00334154"/>
    <w:rsid w:val="00334F55"/>
    <w:rsid w:val="00341FA0"/>
    <w:rsid w:val="00350D53"/>
    <w:rsid w:val="00352BCF"/>
    <w:rsid w:val="00353932"/>
    <w:rsid w:val="00354295"/>
    <w:rsid w:val="00354603"/>
    <w:rsid w:val="0035464B"/>
    <w:rsid w:val="00356B39"/>
    <w:rsid w:val="0036252A"/>
    <w:rsid w:val="00364D9D"/>
    <w:rsid w:val="003657C0"/>
    <w:rsid w:val="003709A1"/>
    <w:rsid w:val="003709EA"/>
    <w:rsid w:val="0037421D"/>
    <w:rsid w:val="00376067"/>
    <w:rsid w:val="0038370D"/>
    <w:rsid w:val="00383DA1"/>
    <w:rsid w:val="00392C8F"/>
    <w:rsid w:val="00393616"/>
    <w:rsid w:val="0039361F"/>
    <w:rsid w:val="00393963"/>
    <w:rsid w:val="00395575"/>
    <w:rsid w:val="00395672"/>
    <w:rsid w:val="003A0283"/>
    <w:rsid w:val="003A06C8"/>
    <w:rsid w:val="003A0D7C"/>
    <w:rsid w:val="003B02CD"/>
    <w:rsid w:val="003B050C"/>
    <w:rsid w:val="003B63EA"/>
    <w:rsid w:val="003B7675"/>
    <w:rsid w:val="003B7EE7"/>
    <w:rsid w:val="003C0FAD"/>
    <w:rsid w:val="003C1D53"/>
    <w:rsid w:val="003C2CCB"/>
    <w:rsid w:val="003C3290"/>
    <w:rsid w:val="003C6804"/>
    <w:rsid w:val="003D0774"/>
    <w:rsid w:val="003D0F7E"/>
    <w:rsid w:val="003D39EC"/>
    <w:rsid w:val="003D3F4A"/>
    <w:rsid w:val="003E3DD5"/>
    <w:rsid w:val="003E3FB4"/>
    <w:rsid w:val="003E647C"/>
    <w:rsid w:val="003F07C6"/>
    <w:rsid w:val="003F1F6B"/>
    <w:rsid w:val="003F3757"/>
    <w:rsid w:val="003F44B7"/>
    <w:rsid w:val="003F6262"/>
    <w:rsid w:val="004033AC"/>
    <w:rsid w:val="00413D48"/>
    <w:rsid w:val="00416140"/>
    <w:rsid w:val="00422180"/>
    <w:rsid w:val="00423C86"/>
    <w:rsid w:val="00440A57"/>
    <w:rsid w:val="00441AC2"/>
    <w:rsid w:val="0044249B"/>
    <w:rsid w:val="00444BB5"/>
    <w:rsid w:val="0045023C"/>
    <w:rsid w:val="00451A5B"/>
    <w:rsid w:val="00452BCD"/>
    <w:rsid w:val="00452CEA"/>
    <w:rsid w:val="00465B52"/>
    <w:rsid w:val="0046708E"/>
    <w:rsid w:val="00472075"/>
    <w:rsid w:val="00474463"/>
    <w:rsid w:val="00474B75"/>
    <w:rsid w:val="004815BA"/>
    <w:rsid w:val="00482EFF"/>
    <w:rsid w:val="00483F0B"/>
    <w:rsid w:val="00484957"/>
    <w:rsid w:val="00485395"/>
    <w:rsid w:val="004869B2"/>
    <w:rsid w:val="00487BE4"/>
    <w:rsid w:val="00496319"/>
    <w:rsid w:val="004A52B1"/>
    <w:rsid w:val="004B5465"/>
    <w:rsid w:val="004C2ACE"/>
    <w:rsid w:val="004C3700"/>
    <w:rsid w:val="004D3EDD"/>
    <w:rsid w:val="004D505E"/>
    <w:rsid w:val="004D72CA"/>
    <w:rsid w:val="004D7BA0"/>
    <w:rsid w:val="004E2242"/>
    <w:rsid w:val="004F0877"/>
    <w:rsid w:val="004F0AF3"/>
    <w:rsid w:val="004F3D1B"/>
    <w:rsid w:val="004F42FF"/>
    <w:rsid w:val="004F44C2"/>
    <w:rsid w:val="00501150"/>
    <w:rsid w:val="00503E8A"/>
    <w:rsid w:val="00504B3E"/>
    <w:rsid w:val="00507E34"/>
    <w:rsid w:val="00514213"/>
    <w:rsid w:val="00516022"/>
    <w:rsid w:val="00520980"/>
    <w:rsid w:val="00521CEE"/>
    <w:rsid w:val="00522B60"/>
    <w:rsid w:val="0052539C"/>
    <w:rsid w:val="005277A4"/>
    <w:rsid w:val="005306D3"/>
    <w:rsid w:val="00533FB9"/>
    <w:rsid w:val="00541530"/>
    <w:rsid w:val="005429DC"/>
    <w:rsid w:val="00554E13"/>
    <w:rsid w:val="005558E0"/>
    <w:rsid w:val="00556495"/>
    <w:rsid w:val="005605C2"/>
    <w:rsid w:val="00561A8F"/>
    <w:rsid w:val="00564AC4"/>
    <w:rsid w:val="00573041"/>
    <w:rsid w:val="0057373F"/>
    <w:rsid w:val="00575B80"/>
    <w:rsid w:val="00580E8C"/>
    <w:rsid w:val="0058151D"/>
    <w:rsid w:val="005819CE"/>
    <w:rsid w:val="0058298D"/>
    <w:rsid w:val="0059136E"/>
    <w:rsid w:val="00592F9F"/>
    <w:rsid w:val="005938B2"/>
    <w:rsid w:val="00593C2B"/>
    <w:rsid w:val="00596166"/>
    <w:rsid w:val="005B7574"/>
    <w:rsid w:val="005C3F39"/>
    <w:rsid w:val="005C3FE0"/>
    <w:rsid w:val="005C740C"/>
    <w:rsid w:val="005D625B"/>
    <w:rsid w:val="005E12D2"/>
    <w:rsid w:val="005E27A3"/>
    <w:rsid w:val="005E40C0"/>
    <w:rsid w:val="005E4581"/>
    <w:rsid w:val="005E66A3"/>
    <w:rsid w:val="005E6D99"/>
    <w:rsid w:val="005F1DBC"/>
    <w:rsid w:val="005F4492"/>
    <w:rsid w:val="005F6D11"/>
    <w:rsid w:val="00600B57"/>
    <w:rsid w:val="00600CF0"/>
    <w:rsid w:val="006022BA"/>
    <w:rsid w:val="006048F4"/>
    <w:rsid w:val="0060515D"/>
    <w:rsid w:val="0060660A"/>
    <w:rsid w:val="0061442E"/>
    <w:rsid w:val="00617343"/>
    <w:rsid w:val="00617A44"/>
    <w:rsid w:val="006202B6"/>
    <w:rsid w:val="00622291"/>
    <w:rsid w:val="00625CD0"/>
    <w:rsid w:val="00627432"/>
    <w:rsid w:val="00627BC9"/>
    <w:rsid w:val="00631090"/>
    <w:rsid w:val="0063779B"/>
    <w:rsid w:val="006425CB"/>
    <w:rsid w:val="006448E4"/>
    <w:rsid w:val="0064767E"/>
    <w:rsid w:val="0065066C"/>
    <w:rsid w:val="00653606"/>
    <w:rsid w:val="00661591"/>
    <w:rsid w:val="0066195F"/>
    <w:rsid w:val="00662A07"/>
    <w:rsid w:val="0066632F"/>
    <w:rsid w:val="00674A89"/>
    <w:rsid w:val="00676276"/>
    <w:rsid w:val="00676691"/>
    <w:rsid w:val="0068150F"/>
    <w:rsid w:val="00685545"/>
    <w:rsid w:val="006864B3"/>
    <w:rsid w:val="006A10F8"/>
    <w:rsid w:val="006A1CF7"/>
    <w:rsid w:val="006A2100"/>
    <w:rsid w:val="006A7295"/>
    <w:rsid w:val="006B00B8"/>
    <w:rsid w:val="006B0209"/>
    <w:rsid w:val="006B0561"/>
    <w:rsid w:val="006B0BF3"/>
    <w:rsid w:val="006B1D6E"/>
    <w:rsid w:val="006B333E"/>
    <w:rsid w:val="006B775E"/>
    <w:rsid w:val="006C05F7"/>
    <w:rsid w:val="006C14FE"/>
    <w:rsid w:val="006C2535"/>
    <w:rsid w:val="006C441E"/>
    <w:rsid w:val="006C4B90"/>
    <w:rsid w:val="006D1016"/>
    <w:rsid w:val="006D17F2"/>
    <w:rsid w:val="006D746B"/>
    <w:rsid w:val="006E196B"/>
    <w:rsid w:val="006E3377"/>
    <w:rsid w:val="006E3546"/>
    <w:rsid w:val="006E3FA9"/>
    <w:rsid w:val="006E4067"/>
    <w:rsid w:val="006E7A44"/>
    <w:rsid w:val="006E7D82"/>
    <w:rsid w:val="006F0F93"/>
    <w:rsid w:val="006F2833"/>
    <w:rsid w:val="006F31F2"/>
    <w:rsid w:val="006F5157"/>
    <w:rsid w:val="006F5715"/>
    <w:rsid w:val="007017CA"/>
    <w:rsid w:val="00711DF6"/>
    <w:rsid w:val="00714DC5"/>
    <w:rsid w:val="00715237"/>
    <w:rsid w:val="0072232C"/>
    <w:rsid w:val="00722CA6"/>
    <w:rsid w:val="00724B19"/>
    <w:rsid w:val="007254A5"/>
    <w:rsid w:val="00725748"/>
    <w:rsid w:val="0073039E"/>
    <w:rsid w:val="00731C7C"/>
    <w:rsid w:val="00732028"/>
    <w:rsid w:val="00735D88"/>
    <w:rsid w:val="007370B4"/>
    <w:rsid w:val="0073720D"/>
    <w:rsid w:val="00737507"/>
    <w:rsid w:val="00737B8B"/>
    <w:rsid w:val="007402E0"/>
    <w:rsid w:val="00740712"/>
    <w:rsid w:val="00742AB9"/>
    <w:rsid w:val="00743023"/>
    <w:rsid w:val="00746233"/>
    <w:rsid w:val="00754FBF"/>
    <w:rsid w:val="0075648C"/>
    <w:rsid w:val="007603A1"/>
    <w:rsid w:val="0077006F"/>
    <w:rsid w:val="007709EF"/>
    <w:rsid w:val="00774DB0"/>
    <w:rsid w:val="00783559"/>
    <w:rsid w:val="007952D9"/>
    <w:rsid w:val="00797AA5"/>
    <w:rsid w:val="007A4105"/>
    <w:rsid w:val="007B12EB"/>
    <w:rsid w:val="007B4503"/>
    <w:rsid w:val="007B58C2"/>
    <w:rsid w:val="007B7128"/>
    <w:rsid w:val="007C37EA"/>
    <w:rsid w:val="007C406E"/>
    <w:rsid w:val="007C5183"/>
    <w:rsid w:val="007D0A6B"/>
    <w:rsid w:val="007D21B7"/>
    <w:rsid w:val="007E0A12"/>
    <w:rsid w:val="007E1385"/>
    <w:rsid w:val="007E2B20"/>
    <w:rsid w:val="007F2868"/>
    <w:rsid w:val="007F5331"/>
    <w:rsid w:val="00800B30"/>
    <w:rsid w:val="00800CCA"/>
    <w:rsid w:val="0080223B"/>
    <w:rsid w:val="00802763"/>
    <w:rsid w:val="00806120"/>
    <w:rsid w:val="00810998"/>
    <w:rsid w:val="00812028"/>
    <w:rsid w:val="00813082"/>
    <w:rsid w:val="00814A89"/>
    <w:rsid w:val="00814D03"/>
    <w:rsid w:val="0081547C"/>
    <w:rsid w:val="00816D33"/>
    <w:rsid w:val="0082632A"/>
    <w:rsid w:val="00830279"/>
    <w:rsid w:val="0083178B"/>
    <w:rsid w:val="00833246"/>
    <w:rsid w:val="00833695"/>
    <w:rsid w:val="008336B7"/>
    <w:rsid w:val="00833872"/>
    <w:rsid w:val="00833A8E"/>
    <w:rsid w:val="008411D1"/>
    <w:rsid w:val="008426EA"/>
    <w:rsid w:val="008429FC"/>
    <w:rsid w:val="00842CD8"/>
    <w:rsid w:val="008431FA"/>
    <w:rsid w:val="00845370"/>
    <w:rsid w:val="00852394"/>
    <w:rsid w:val="00853234"/>
    <w:rsid w:val="0085406A"/>
    <w:rsid w:val="008547BA"/>
    <w:rsid w:val="008553C7"/>
    <w:rsid w:val="00855921"/>
    <w:rsid w:val="00855F5D"/>
    <w:rsid w:val="00857FEB"/>
    <w:rsid w:val="008601AF"/>
    <w:rsid w:val="00872271"/>
    <w:rsid w:val="0087734B"/>
    <w:rsid w:val="00881F19"/>
    <w:rsid w:val="00882623"/>
    <w:rsid w:val="00890319"/>
    <w:rsid w:val="00890FB6"/>
    <w:rsid w:val="008A28F5"/>
    <w:rsid w:val="008B10DB"/>
    <w:rsid w:val="008B3929"/>
    <w:rsid w:val="008B4CB3"/>
    <w:rsid w:val="008B7B24"/>
    <w:rsid w:val="008C093E"/>
    <w:rsid w:val="008C356D"/>
    <w:rsid w:val="008D5103"/>
    <w:rsid w:val="008D6C99"/>
    <w:rsid w:val="008E0441"/>
    <w:rsid w:val="008E3B63"/>
    <w:rsid w:val="008E49AD"/>
    <w:rsid w:val="008E70FC"/>
    <w:rsid w:val="008F1FC6"/>
    <w:rsid w:val="008F2731"/>
    <w:rsid w:val="008F3246"/>
    <w:rsid w:val="008F3C1B"/>
    <w:rsid w:val="008F41D7"/>
    <w:rsid w:val="008F508C"/>
    <w:rsid w:val="008F71D1"/>
    <w:rsid w:val="00900031"/>
    <w:rsid w:val="0090271B"/>
    <w:rsid w:val="00907887"/>
    <w:rsid w:val="00910642"/>
    <w:rsid w:val="00910DDF"/>
    <w:rsid w:val="00913C47"/>
    <w:rsid w:val="00916B2E"/>
    <w:rsid w:val="00925121"/>
    <w:rsid w:val="0092768F"/>
    <w:rsid w:val="00930CD3"/>
    <w:rsid w:val="009311C8"/>
    <w:rsid w:val="00933376"/>
    <w:rsid w:val="00933A2F"/>
    <w:rsid w:val="0094062E"/>
    <w:rsid w:val="00943908"/>
    <w:rsid w:val="00943DA7"/>
    <w:rsid w:val="009517CD"/>
    <w:rsid w:val="00951B7A"/>
    <w:rsid w:val="00961DB0"/>
    <w:rsid w:val="00962DEC"/>
    <w:rsid w:val="00964659"/>
    <w:rsid w:val="009718F9"/>
    <w:rsid w:val="00972FB9"/>
    <w:rsid w:val="009749D1"/>
    <w:rsid w:val="00975112"/>
    <w:rsid w:val="00975BB7"/>
    <w:rsid w:val="00976463"/>
    <w:rsid w:val="009766EA"/>
    <w:rsid w:val="00976C3F"/>
    <w:rsid w:val="009809C0"/>
    <w:rsid w:val="00981768"/>
    <w:rsid w:val="009839D2"/>
    <w:rsid w:val="00983E8F"/>
    <w:rsid w:val="0098578E"/>
    <w:rsid w:val="00990815"/>
    <w:rsid w:val="00994FDA"/>
    <w:rsid w:val="009A2586"/>
    <w:rsid w:val="009A2FD7"/>
    <w:rsid w:val="009A3B71"/>
    <w:rsid w:val="009A61BC"/>
    <w:rsid w:val="009A6F03"/>
    <w:rsid w:val="009B0138"/>
    <w:rsid w:val="009B0FE9"/>
    <w:rsid w:val="009C1CF5"/>
    <w:rsid w:val="009C236A"/>
    <w:rsid w:val="009C3F20"/>
    <w:rsid w:val="009C7CA1"/>
    <w:rsid w:val="009D043D"/>
    <w:rsid w:val="009D58AC"/>
    <w:rsid w:val="009D5D50"/>
    <w:rsid w:val="009E3FB8"/>
    <w:rsid w:val="009F3259"/>
    <w:rsid w:val="009F5070"/>
    <w:rsid w:val="00A018CC"/>
    <w:rsid w:val="00A111E8"/>
    <w:rsid w:val="00A128AD"/>
    <w:rsid w:val="00A140CE"/>
    <w:rsid w:val="00A153E6"/>
    <w:rsid w:val="00A15D93"/>
    <w:rsid w:val="00A16474"/>
    <w:rsid w:val="00A165F6"/>
    <w:rsid w:val="00A166AF"/>
    <w:rsid w:val="00A21E76"/>
    <w:rsid w:val="00A23BC8"/>
    <w:rsid w:val="00A2457A"/>
    <w:rsid w:val="00A24F15"/>
    <w:rsid w:val="00A27CE4"/>
    <w:rsid w:val="00A30E68"/>
    <w:rsid w:val="00A31933"/>
    <w:rsid w:val="00A34AA0"/>
    <w:rsid w:val="00A34B31"/>
    <w:rsid w:val="00A40219"/>
    <w:rsid w:val="00A41123"/>
    <w:rsid w:val="00A41FE2"/>
    <w:rsid w:val="00A43184"/>
    <w:rsid w:val="00A43448"/>
    <w:rsid w:val="00A43BA3"/>
    <w:rsid w:val="00A45E13"/>
    <w:rsid w:val="00A47948"/>
    <w:rsid w:val="00A50824"/>
    <w:rsid w:val="00A56946"/>
    <w:rsid w:val="00A56ED0"/>
    <w:rsid w:val="00A606AE"/>
    <w:rsid w:val="00A60941"/>
    <w:rsid w:val="00A62E68"/>
    <w:rsid w:val="00A63B8C"/>
    <w:rsid w:val="00A67B64"/>
    <w:rsid w:val="00A76080"/>
    <w:rsid w:val="00A77F6F"/>
    <w:rsid w:val="00A831FD"/>
    <w:rsid w:val="00A83D53"/>
    <w:rsid w:val="00A87456"/>
    <w:rsid w:val="00A87CBF"/>
    <w:rsid w:val="00A9016E"/>
    <w:rsid w:val="00A919EE"/>
    <w:rsid w:val="00A91FA3"/>
    <w:rsid w:val="00AA0AF9"/>
    <w:rsid w:val="00AA1075"/>
    <w:rsid w:val="00AA7FC9"/>
    <w:rsid w:val="00AB1DF0"/>
    <w:rsid w:val="00AB237D"/>
    <w:rsid w:val="00AB5933"/>
    <w:rsid w:val="00AD1799"/>
    <w:rsid w:val="00AD441F"/>
    <w:rsid w:val="00AE013D"/>
    <w:rsid w:val="00AE0D4B"/>
    <w:rsid w:val="00AE11B7"/>
    <w:rsid w:val="00AE172F"/>
    <w:rsid w:val="00AE2171"/>
    <w:rsid w:val="00AE43EF"/>
    <w:rsid w:val="00AE44C5"/>
    <w:rsid w:val="00AF13DA"/>
    <w:rsid w:val="00AF1C5D"/>
    <w:rsid w:val="00AF2B7E"/>
    <w:rsid w:val="00AF52F6"/>
    <w:rsid w:val="00AF588D"/>
    <w:rsid w:val="00AF7237"/>
    <w:rsid w:val="00AF78B4"/>
    <w:rsid w:val="00B0043A"/>
    <w:rsid w:val="00B00D75"/>
    <w:rsid w:val="00B01C3A"/>
    <w:rsid w:val="00B03C09"/>
    <w:rsid w:val="00B048E2"/>
    <w:rsid w:val="00B059D7"/>
    <w:rsid w:val="00B05FCD"/>
    <w:rsid w:val="00B070CB"/>
    <w:rsid w:val="00B1021F"/>
    <w:rsid w:val="00B13FE6"/>
    <w:rsid w:val="00B151C6"/>
    <w:rsid w:val="00B212E8"/>
    <w:rsid w:val="00B259C8"/>
    <w:rsid w:val="00B26CCF"/>
    <w:rsid w:val="00B274D1"/>
    <w:rsid w:val="00B32312"/>
    <w:rsid w:val="00B349FA"/>
    <w:rsid w:val="00B34C10"/>
    <w:rsid w:val="00B4160D"/>
    <w:rsid w:val="00B421C6"/>
    <w:rsid w:val="00B425F0"/>
    <w:rsid w:val="00B42DFA"/>
    <w:rsid w:val="00B44934"/>
    <w:rsid w:val="00B521B4"/>
    <w:rsid w:val="00B531DD"/>
    <w:rsid w:val="00B55014"/>
    <w:rsid w:val="00B62232"/>
    <w:rsid w:val="00B71DC2"/>
    <w:rsid w:val="00B72EC3"/>
    <w:rsid w:val="00B74EF2"/>
    <w:rsid w:val="00B86FC5"/>
    <w:rsid w:val="00B93893"/>
    <w:rsid w:val="00B939AF"/>
    <w:rsid w:val="00B954F3"/>
    <w:rsid w:val="00B956A4"/>
    <w:rsid w:val="00B95BDB"/>
    <w:rsid w:val="00BA2F6D"/>
    <w:rsid w:val="00BA5903"/>
    <w:rsid w:val="00BC164E"/>
    <w:rsid w:val="00BC3B53"/>
    <w:rsid w:val="00BC3B96"/>
    <w:rsid w:val="00BC4AE3"/>
    <w:rsid w:val="00BC4E83"/>
    <w:rsid w:val="00BC7BB9"/>
    <w:rsid w:val="00BD0823"/>
    <w:rsid w:val="00BE2C7F"/>
    <w:rsid w:val="00BE3F88"/>
    <w:rsid w:val="00BE4756"/>
    <w:rsid w:val="00BE5016"/>
    <w:rsid w:val="00BE5ED9"/>
    <w:rsid w:val="00BE77D3"/>
    <w:rsid w:val="00BE7B41"/>
    <w:rsid w:val="00BF14DC"/>
    <w:rsid w:val="00BF17ED"/>
    <w:rsid w:val="00BF251C"/>
    <w:rsid w:val="00BF6164"/>
    <w:rsid w:val="00C0576A"/>
    <w:rsid w:val="00C1212C"/>
    <w:rsid w:val="00C12DEE"/>
    <w:rsid w:val="00C1658F"/>
    <w:rsid w:val="00C206F1"/>
    <w:rsid w:val="00C20B57"/>
    <w:rsid w:val="00C217E1"/>
    <w:rsid w:val="00C23815"/>
    <w:rsid w:val="00C3088D"/>
    <w:rsid w:val="00C3502C"/>
    <w:rsid w:val="00C353C8"/>
    <w:rsid w:val="00C367F2"/>
    <w:rsid w:val="00C36806"/>
    <w:rsid w:val="00C40C60"/>
    <w:rsid w:val="00C43F4F"/>
    <w:rsid w:val="00C47047"/>
    <w:rsid w:val="00C5258E"/>
    <w:rsid w:val="00C60781"/>
    <w:rsid w:val="00C6190A"/>
    <w:rsid w:val="00C6748D"/>
    <w:rsid w:val="00C70B3F"/>
    <w:rsid w:val="00C72038"/>
    <w:rsid w:val="00C72560"/>
    <w:rsid w:val="00C85E22"/>
    <w:rsid w:val="00C93BCD"/>
    <w:rsid w:val="00C95145"/>
    <w:rsid w:val="00C97C80"/>
    <w:rsid w:val="00CA1425"/>
    <w:rsid w:val="00CA47D3"/>
    <w:rsid w:val="00CA6A3F"/>
    <w:rsid w:val="00CA77C5"/>
    <w:rsid w:val="00CA7C99"/>
    <w:rsid w:val="00CB7ABA"/>
    <w:rsid w:val="00CC4D8F"/>
    <w:rsid w:val="00CC740F"/>
    <w:rsid w:val="00CD0456"/>
    <w:rsid w:val="00CD3356"/>
    <w:rsid w:val="00CD362D"/>
    <w:rsid w:val="00CD742E"/>
    <w:rsid w:val="00CE1C84"/>
    <w:rsid w:val="00CE2130"/>
    <w:rsid w:val="00CE698F"/>
    <w:rsid w:val="00CF053F"/>
    <w:rsid w:val="00CF2777"/>
    <w:rsid w:val="00CF33B4"/>
    <w:rsid w:val="00D04E5D"/>
    <w:rsid w:val="00D0609E"/>
    <w:rsid w:val="00D078E1"/>
    <w:rsid w:val="00D100E9"/>
    <w:rsid w:val="00D21C6E"/>
    <w:rsid w:val="00D21E4B"/>
    <w:rsid w:val="00D23522"/>
    <w:rsid w:val="00D264D6"/>
    <w:rsid w:val="00D2765B"/>
    <w:rsid w:val="00D27A8B"/>
    <w:rsid w:val="00D33BF0"/>
    <w:rsid w:val="00D4355E"/>
    <w:rsid w:val="00D47984"/>
    <w:rsid w:val="00D50BCB"/>
    <w:rsid w:val="00D516BE"/>
    <w:rsid w:val="00D52FA9"/>
    <w:rsid w:val="00D5423B"/>
    <w:rsid w:val="00D54F4E"/>
    <w:rsid w:val="00D567AB"/>
    <w:rsid w:val="00D60BA4"/>
    <w:rsid w:val="00D62419"/>
    <w:rsid w:val="00D65A9F"/>
    <w:rsid w:val="00D72792"/>
    <w:rsid w:val="00D7394F"/>
    <w:rsid w:val="00D746E3"/>
    <w:rsid w:val="00D766E8"/>
    <w:rsid w:val="00D7690A"/>
    <w:rsid w:val="00D772C8"/>
    <w:rsid w:val="00D77870"/>
    <w:rsid w:val="00D80CCE"/>
    <w:rsid w:val="00D87D03"/>
    <w:rsid w:val="00D95C88"/>
    <w:rsid w:val="00D96747"/>
    <w:rsid w:val="00D97B2E"/>
    <w:rsid w:val="00DA0B4D"/>
    <w:rsid w:val="00DA2EC6"/>
    <w:rsid w:val="00DB27E9"/>
    <w:rsid w:val="00DB36FE"/>
    <w:rsid w:val="00DB4534"/>
    <w:rsid w:val="00DB533A"/>
    <w:rsid w:val="00DD239F"/>
    <w:rsid w:val="00DD3697"/>
    <w:rsid w:val="00DD36A2"/>
    <w:rsid w:val="00DD66F2"/>
    <w:rsid w:val="00DE0C43"/>
    <w:rsid w:val="00DE18C7"/>
    <w:rsid w:val="00DE3FE0"/>
    <w:rsid w:val="00DE578A"/>
    <w:rsid w:val="00DE7E27"/>
    <w:rsid w:val="00DF0A90"/>
    <w:rsid w:val="00DF2583"/>
    <w:rsid w:val="00DF33EA"/>
    <w:rsid w:val="00DF4D0A"/>
    <w:rsid w:val="00DF5450"/>
    <w:rsid w:val="00DF54D9"/>
    <w:rsid w:val="00E01A59"/>
    <w:rsid w:val="00E01B95"/>
    <w:rsid w:val="00E0640A"/>
    <w:rsid w:val="00E10DC6"/>
    <w:rsid w:val="00E11F8E"/>
    <w:rsid w:val="00E21275"/>
    <w:rsid w:val="00E21DE3"/>
    <w:rsid w:val="00E225E1"/>
    <w:rsid w:val="00E22F2D"/>
    <w:rsid w:val="00E34E52"/>
    <w:rsid w:val="00E3731D"/>
    <w:rsid w:val="00E37F66"/>
    <w:rsid w:val="00E40A8B"/>
    <w:rsid w:val="00E438DA"/>
    <w:rsid w:val="00E46E69"/>
    <w:rsid w:val="00E51469"/>
    <w:rsid w:val="00E63017"/>
    <w:rsid w:val="00E634E3"/>
    <w:rsid w:val="00E73993"/>
    <w:rsid w:val="00E766FB"/>
    <w:rsid w:val="00E77F89"/>
    <w:rsid w:val="00E80E71"/>
    <w:rsid w:val="00E850D3"/>
    <w:rsid w:val="00E85E3C"/>
    <w:rsid w:val="00E8732C"/>
    <w:rsid w:val="00E876B9"/>
    <w:rsid w:val="00E9625B"/>
    <w:rsid w:val="00E96863"/>
    <w:rsid w:val="00EB380B"/>
    <w:rsid w:val="00EB458F"/>
    <w:rsid w:val="00EB563D"/>
    <w:rsid w:val="00EB7A2F"/>
    <w:rsid w:val="00EC0DFF"/>
    <w:rsid w:val="00EC237D"/>
    <w:rsid w:val="00EC4AA5"/>
    <w:rsid w:val="00EC4D0E"/>
    <w:rsid w:val="00EC4D55"/>
    <w:rsid w:val="00ED072A"/>
    <w:rsid w:val="00ED572A"/>
    <w:rsid w:val="00EE4A1F"/>
    <w:rsid w:val="00EE4C2D"/>
    <w:rsid w:val="00EF1B5A"/>
    <w:rsid w:val="00EF2123"/>
    <w:rsid w:val="00EF24FB"/>
    <w:rsid w:val="00EF2CCA"/>
    <w:rsid w:val="00EF3DB3"/>
    <w:rsid w:val="00EF4253"/>
    <w:rsid w:val="00F03963"/>
    <w:rsid w:val="00F06ABA"/>
    <w:rsid w:val="00F07C02"/>
    <w:rsid w:val="00F11068"/>
    <w:rsid w:val="00F1256D"/>
    <w:rsid w:val="00F13A4E"/>
    <w:rsid w:val="00F172BB"/>
    <w:rsid w:val="00F17B10"/>
    <w:rsid w:val="00F21BEF"/>
    <w:rsid w:val="00F2203B"/>
    <w:rsid w:val="00F22643"/>
    <w:rsid w:val="00F30458"/>
    <w:rsid w:val="00F35C8C"/>
    <w:rsid w:val="00F43063"/>
    <w:rsid w:val="00F432DA"/>
    <w:rsid w:val="00F44912"/>
    <w:rsid w:val="00F44D1B"/>
    <w:rsid w:val="00F45A25"/>
    <w:rsid w:val="00F47517"/>
    <w:rsid w:val="00F50F86"/>
    <w:rsid w:val="00F529C3"/>
    <w:rsid w:val="00F52AB0"/>
    <w:rsid w:val="00F53F91"/>
    <w:rsid w:val="00F57887"/>
    <w:rsid w:val="00F61610"/>
    <w:rsid w:val="00F61A72"/>
    <w:rsid w:val="00F62B67"/>
    <w:rsid w:val="00F649A5"/>
    <w:rsid w:val="00F66F13"/>
    <w:rsid w:val="00F73ACC"/>
    <w:rsid w:val="00F74073"/>
    <w:rsid w:val="00F75603"/>
    <w:rsid w:val="00F7633B"/>
    <w:rsid w:val="00F80879"/>
    <w:rsid w:val="00F845B4"/>
    <w:rsid w:val="00F8713B"/>
    <w:rsid w:val="00F920E1"/>
    <w:rsid w:val="00F93B09"/>
    <w:rsid w:val="00F93F9E"/>
    <w:rsid w:val="00F9751C"/>
    <w:rsid w:val="00FA2CD7"/>
    <w:rsid w:val="00FA4B85"/>
    <w:rsid w:val="00FB06ED"/>
    <w:rsid w:val="00FB1603"/>
    <w:rsid w:val="00FB44E8"/>
    <w:rsid w:val="00FC3165"/>
    <w:rsid w:val="00FC36AB"/>
    <w:rsid w:val="00FC7F66"/>
    <w:rsid w:val="00FD20FE"/>
    <w:rsid w:val="00FD41B0"/>
    <w:rsid w:val="00FE0431"/>
    <w:rsid w:val="00FE1A2F"/>
    <w:rsid w:val="00FE1CB6"/>
    <w:rsid w:val="00FE1EB4"/>
    <w:rsid w:val="00FE486B"/>
    <w:rsid w:val="00FE4F08"/>
    <w:rsid w:val="00FE777F"/>
    <w:rsid w:val="00FF2ECD"/>
    <w:rsid w:val="00FF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8BECA"/>
  <w15:docId w15:val="{8112DDA4-3001-4A3E-B9F9-8B3FA182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4"/>
      <w:szCs w:val="26"/>
    </w:rPr>
  </w:style>
  <w:style w:type="paragraph" w:styleId="Kop4">
    <w:name w:val="heading 4"/>
    <w:basedOn w:val="Standaard"/>
    <w:next w:val="Standaard"/>
    <w:link w:val="Kop4Char"/>
    <w:semiHidden/>
    <w:unhideWhenUsed/>
    <w:qFormat/>
    <w:rsid w:val="00B72EC3"/>
    <w:pPr>
      <w:keepNext/>
      <w:spacing w:before="240" w:after="60"/>
      <w:outlineLvl w:val="3"/>
    </w:pPr>
    <w:rPr>
      <w:b/>
      <w:bCs/>
      <w:sz w:val="28"/>
      <w:szCs w:val="28"/>
    </w:rPr>
  </w:style>
  <w:style w:type="paragraph" w:styleId="Kop5">
    <w:name w:val="heading 5"/>
    <w:basedOn w:val="Standaard"/>
    <w:next w:val="Standaard"/>
    <w:link w:val="Kop5Char"/>
    <w:semiHidden/>
    <w:unhideWhenUsed/>
    <w:qFormat/>
    <w:rsid w:val="00B72EC3"/>
    <w:pPr>
      <w:spacing w:before="240" w:after="60"/>
      <w:outlineLvl w:val="4"/>
    </w:pPr>
    <w:rPr>
      <w:b/>
      <w:bCs/>
      <w:i/>
      <w:iCs/>
      <w:sz w:val="26"/>
      <w:szCs w:val="26"/>
    </w:rPr>
  </w:style>
  <w:style w:type="paragraph" w:styleId="Kop6">
    <w:name w:val="heading 6"/>
    <w:basedOn w:val="Standaard"/>
    <w:next w:val="Standaard"/>
    <w:link w:val="Kop6Char"/>
    <w:semiHidden/>
    <w:unhideWhenUsed/>
    <w:qFormat/>
    <w:rsid w:val="00B72EC3"/>
    <w:pPr>
      <w:spacing w:before="240" w:after="60"/>
      <w:outlineLvl w:val="5"/>
    </w:pPr>
    <w:rPr>
      <w:b/>
      <w:bCs/>
      <w:sz w:val="22"/>
      <w:szCs w:val="22"/>
    </w:rPr>
  </w:style>
  <w:style w:type="paragraph" w:styleId="Kop7">
    <w:name w:val="heading 7"/>
    <w:basedOn w:val="Standaard"/>
    <w:next w:val="Standaard"/>
    <w:link w:val="Kop7Char"/>
    <w:semiHidden/>
    <w:unhideWhenUsed/>
    <w:qFormat/>
    <w:rsid w:val="00B72EC3"/>
    <w:pPr>
      <w:spacing w:before="240" w:after="60"/>
      <w:outlineLvl w:val="6"/>
    </w:pPr>
    <w:rPr>
      <w:sz w:val="24"/>
    </w:rPr>
  </w:style>
  <w:style w:type="paragraph" w:styleId="Kop8">
    <w:name w:val="heading 8"/>
    <w:basedOn w:val="Standaard"/>
    <w:next w:val="Standaard"/>
    <w:link w:val="Kop8Char"/>
    <w:semiHidden/>
    <w:unhideWhenUsed/>
    <w:qFormat/>
    <w:rsid w:val="00B72EC3"/>
    <w:pPr>
      <w:spacing w:before="240" w:after="60"/>
      <w:outlineLvl w:val="7"/>
    </w:pPr>
    <w:rPr>
      <w:i/>
      <w:iCs/>
      <w:sz w:val="24"/>
    </w:rPr>
  </w:style>
  <w:style w:type="paragraph" w:styleId="Kop9">
    <w:name w:val="heading 9"/>
    <w:basedOn w:val="Standaard"/>
    <w:next w:val="Standaard"/>
    <w:link w:val="Kop9Char"/>
    <w:semiHidden/>
    <w:unhideWhenUsed/>
    <w:qFormat/>
    <w:rsid w:val="00B72EC3"/>
    <w:pPr>
      <w:spacing w:before="240" w:after="60"/>
      <w:outlineLvl w:val="8"/>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numbering" w:customStyle="1" w:styleId="Nummeringagenda">
    <w:name w:val="Nummering agenda"/>
    <w:basedOn w:val="Geenlijst"/>
    <w:rsid w:val="008426EA"/>
    <w:pPr>
      <w:numPr>
        <w:numId w:val="17"/>
      </w:numPr>
    </w:pPr>
  </w:style>
  <w:style w:type="paragraph" w:styleId="Ballontekst">
    <w:name w:val="Balloon Text"/>
    <w:basedOn w:val="Standaard"/>
    <w:semiHidden/>
    <w:rsid w:val="001C550B"/>
    <w:rPr>
      <w:rFonts w:ascii="Tahoma" w:hAnsi="Tahoma" w:cs="Tahoma"/>
      <w:sz w:val="16"/>
      <w:szCs w:val="16"/>
    </w:rPr>
  </w:style>
  <w:style w:type="character" w:customStyle="1" w:styleId="Huisstijl-KopjeChar">
    <w:name w:val="Huisstijl-Kopje Char"/>
    <w:link w:val="Huisstijl-Kopje"/>
    <w:rsid w:val="00A43BA3"/>
    <w:rPr>
      <w:rFonts w:ascii="Verdana" w:hAnsi="Verdana"/>
      <w:b/>
      <w:noProof/>
      <w:sz w:val="13"/>
      <w:szCs w:val="24"/>
    </w:rPr>
  </w:style>
  <w:style w:type="paragraph" w:styleId="Berichtkop">
    <w:name w:val="Message Header"/>
    <w:basedOn w:val="Standaard"/>
    <w:link w:val="BerichtkopChar"/>
    <w:rsid w:val="00B72EC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B72EC3"/>
    <w:rPr>
      <w:rFonts w:ascii="Verdana" w:hAnsi="Verdana"/>
      <w:sz w:val="24"/>
      <w:szCs w:val="24"/>
      <w:shd w:val="pct20" w:color="auto" w:fill="auto"/>
    </w:rPr>
  </w:style>
  <w:style w:type="paragraph" w:styleId="Index1">
    <w:name w:val="index 1"/>
    <w:basedOn w:val="Standaard"/>
    <w:next w:val="Standaard"/>
    <w:autoRedefine/>
    <w:rsid w:val="00B72EC3"/>
    <w:pPr>
      <w:ind w:left="180" w:hanging="180"/>
    </w:pPr>
  </w:style>
  <w:style w:type="paragraph" w:styleId="Indexkop">
    <w:name w:val="index heading"/>
    <w:basedOn w:val="Standaard"/>
    <w:next w:val="Index1"/>
    <w:rsid w:val="00B72EC3"/>
    <w:rPr>
      <w:b/>
      <w:bCs/>
    </w:rPr>
  </w:style>
  <w:style w:type="character" w:customStyle="1" w:styleId="Kop4Char">
    <w:name w:val="Kop 4 Char"/>
    <w:link w:val="Kop4"/>
    <w:semiHidden/>
    <w:rsid w:val="00B72EC3"/>
    <w:rPr>
      <w:rFonts w:ascii="Verdana" w:hAnsi="Verdana"/>
      <w:b/>
      <w:bCs/>
      <w:sz w:val="28"/>
      <w:szCs w:val="28"/>
    </w:rPr>
  </w:style>
  <w:style w:type="character" w:customStyle="1" w:styleId="Kop5Char">
    <w:name w:val="Kop 5 Char"/>
    <w:link w:val="Kop5"/>
    <w:semiHidden/>
    <w:rsid w:val="00B72EC3"/>
    <w:rPr>
      <w:rFonts w:ascii="Verdana" w:hAnsi="Verdana"/>
      <w:b/>
      <w:bCs/>
      <w:i/>
      <w:iCs/>
      <w:sz w:val="26"/>
      <w:szCs w:val="26"/>
    </w:rPr>
  </w:style>
  <w:style w:type="character" w:customStyle="1" w:styleId="Kop6Char">
    <w:name w:val="Kop 6 Char"/>
    <w:link w:val="Kop6"/>
    <w:semiHidden/>
    <w:rsid w:val="00B72EC3"/>
    <w:rPr>
      <w:rFonts w:ascii="Verdana" w:hAnsi="Verdana"/>
      <w:b/>
      <w:bCs/>
      <w:sz w:val="22"/>
      <w:szCs w:val="22"/>
    </w:rPr>
  </w:style>
  <w:style w:type="character" w:customStyle="1" w:styleId="Kop7Char">
    <w:name w:val="Kop 7 Char"/>
    <w:link w:val="Kop7"/>
    <w:semiHidden/>
    <w:rsid w:val="00B72EC3"/>
    <w:rPr>
      <w:rFonts w:ascii="Verdana" w:hAnsi="Verdana"/>
      <w:sz w:val="24"/>
      <w:szCs w:val="24"/>
    </w:rPr>
  </w:style>
  <w:style w:type="character" w:customStyle="1" w:styleId="Kop8Char">
    <w:name w:val="Kop 8 Char"/>
    <w:link w:val="Kop8"/>
    <w:semiHidden/>
    <w:rsid w:val="00B72EC3"/>
    <w:rPr>
      <w:rFonts w:ascii="Verdana" w:hAnsi="Verdana"/>
      <w:i/>
      <w:iCs/>
      <w:sz w:val="24"/>
      <w:szCs w:val="24"/>
    </w:rPr>
  </w:style>
  <w:style w:type="character" w:customStyle="1" w:styleId="Kop9Char">
    <w:name w:val="Kop 9 Char"/>
    <w:link w:val="Kop9"/>
    <w:semiHidden/>
    <w:rsid w:val="00B72EC3"/>
    <w:rPr>
      <w:rFonts w:ascii="Verdana" w:hAnsi="Verdana"/>
      <w:sz w:val="22"/>
      <w:szCs w:val="22"/>
    </w:rPr>
  </w:style>
  <w:style w:type="paragraph" w:styleId="Kopbronvermelding">
    <w:name w:val="toa heading"/>
    <w:basedOn w:val="Standaard"/>
    <w:next w:val="Standaard"/>
    <w:rsid w:val="00B72EC3"/>
    <w:pPr>
      <w:spacing w:before="120"/>
    </w:pPr>
    <w:rPr>
      <w:b/>
      <w:bCs/>
      <w:sz w:val="24"/>
    </w:rPr>
  </w:style>
  <w:style w:type="paragraph" w:styleId="Kopvaninhoudsopgave">
    <w:name w:val="TOC Heading"/>
    <w:basedOn w:val="Kop1"/>
    <w:next w:val="Standaard"/>
    <w:uiPriority w:val="39"/>
    <w:semiHidden/>
    <w:unhideWhenUsed/>
    <w:qFormat/>
    <w:rsid w:val="00B72EC3"/>
    <w:pPr>
      <w:outlineLvl w:val="9"/>
    </w:pPr>
    <w:rPr>
      <w:rFonts w:cs="Times New Roman"/>
    </w:rPr>
  </w:style>
  <w:style w:type="paragraph" w:styleId="Notitiekop">
    <w:name w:val="Note Heading"/>
    <w:basedOn w:val="Standaard"/>
    <w:next w:val="Standaard"/>
    <w:link w:val="NotitiekopChar"/>
    <w:rsid w:val="00B72EC3"/>
  </w:style>
  <w:style w:type="character" w:customStyle="1" w:styleId="NotitiekopChar">
    <w:name w:val="Notitiekop Char"/>
    <w:link w:val="Notitiekop"/>
    <w:rsid w:val="00B72EC3"/>
    <w:rPr>
      <w:rFonts w:ascii="Verdana" w:hAnsi="Verdana"/>
      <w:sz w:val="18"/>
      <w:szCs w:val="24"/>
    </w:rPr>
  </w:style>
  <w:style w:type="paragraph" w:styleId="Voetnoottekst">
    <w:name w:val="footnote text"/>
    <w:basedOn w:val="Standaard"/>
    <w:link w:val="VoetnoottekstChar"/>
    <w:rsid w:val="00845370"/>
    <w:rPr>
      <w:sz w:val="13"/>
      <w:szCs w:val="20"/>
    </w:rPr>
  </w:style>
  <w:style w:type="character" w:customStyle="1" w:styleId="VoetnoottekstChar">
    <w:name w:val="Voetnoottekst Char"/>
    <w:link w:val="Voetnoottekst"/>
    <w:rsid w:val="00845370"/>
    <w:rPr>
      <w:rFonts w:ascii="Verdana" w:hAnsi="Verdana"/>
      <w:sz w:val="13"/>
    </w:rPr>
  </w:style>
  <w:style w:type="character" w:styleId="Voetnootmarkering">
    <w:name w:val="footnote reference"/>
    <w:rsid w:val="00845370"/>
    <w:rPr>
      <w:vertAlign w:val="superscript"/>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paragraph" w:styleId="Lijstalinea">
    <w:name w:val="List Paragraph"/>
    <w:basedOn w:val="Standaard"/>
    <w:uiPriority w:val="34"/>
    <w:qFormat/>
    <w:rsid w:val="00322749"/>
    <w:pPr>
      <w:ind w:left="720"/>
      <w:contextualSpacing/>
    </w:pPr>
  </w:style>
  <w:style w:type="character" w:styleId="Verwijzingopmerking">
    <w:name w:val="annotation reference"/>
    <w:basedOn w:val="Standaardalinea-lettertype"/>
    <w:uiPriority w:val="99"/>
    <w:rsid w:val="0098578E"/>
    <w:rPr>
      <w:sz w:val="16"/>
      <w:szCs w:val="16"/>
    </w:rPr>
  </w:style>
  <w:style w:type="paragraph" w:styleId="Tekstopmerking">
    <w:name w:val="annotation text"/>
    <w:basedOn w:val="Standaard"/>
    <w:link w:val="TekstopmerkingChar"/>
    <w:uiPriority w:val="99"/>
    <w:rsid w:val="0098578E"/>
    <w:pPr>
      <w:spacing w:line="240" w:lineRule="auto"/>
    </w:pPr>
    <w:rPr>
      <w:sz w:val="20"/>
      <w:szCs w:val="20"/>
    </w:rPr>
  </w:style>
  <w:style w:type="character" w:customStyle="1" w:styleId="TekstopmerkingChar">
    <w:name w:val="Tekst opmerking Char"/>
    <w:basedOn w:val="Standaardalinea-lettertype"/>
    <w:link w:val="Tekstopmerking"/>
    <w:uiPriority w:val="99"/>
    <w:rsid w:val="0098578E"/>
    <w:rPr>
      <w:rFonts w:ascii="Verdana" w:hAnsi="Verdana"/>
      <w:lang w:val="nl-NL" w:eastAsia="nl-NL"/>
    </w:rPr>
  </w:style>
  <w:style w:type="paragraph" w:styleId="Onderwerpvanopmerking">
    <w:name w:val="annotation subject"/>
    <w:basedOn w:val="Tekstopmerking"/>
    <w:next w:val="Tekstopmerking"/>
    <w:link w:val="OnderwerpvanopmerkingChar"/>
    <w:rsid w:val="0098578E"/>
    <w:rPr>
      <w:b/>
      <w:bCs/>
    </w:rPr>
  </w:style>
  <w:style w:type="character" w:customStyle="1" w:styleId="OnderwerpvanopmerkingChar">
    <w:name w:val="Onderwerp van opmerking Char"/>
    <w:basedOn w:val="TekstopmerkingChar"/>
    <w:link w:val="Onderwerpvanopmerking"/>
    <w:rsid w:val="0098578E"/>
    <w:rPr>
      <w:rFonts w:ascii="Verdana" w:hAnsi="Verdana"/>
      <w:b/>
      <w:bCs/>
      <w:lang w:val="nl-NL" w:eastAsia="nl-NL"/>
    </w:rPr>
  </w:style>
  <w:style w:type="paragraph" w:styleId="Geenafstand">
    <w:name w:val="No Spacing"/>
    <w:uiPriority w:val="1"/>
    <w:qFormat/>
    <w:rsid w:val="007B7128"/>
    <w:rPr>
      <w:rFonts w:ascii="Verdana" w:hAnsi="Verdana"/>
      <w:sz w:val="18"/>
      <w:szCs w:val="24"/>
      <w:lang w:val="nl-NL" w:eastAsia="nl-NL"/>
    </w:rPr>
  </w:style>
  <w:style w:type="paragraph" w:styleId="Revisie">
    <w:name w:val="Revision"/>
    <w:hidden/>
    <w:uiPriority w:val="99"/>
    <w:semiHidden/>
    <w:rsid w:val="00F73AC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834</Words>
  <Characters>4591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Nationaal Archief</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 Meerdink</dc:creator>
  <cp:lastModifiedBy>Wellens, Sander</cp:lastModifiedBy>
  <cp:revision>91</cp:revision>
  <cp:lastPrinted>2008-07-25T16:17:00Z</cp:lastPrinted>
  <dcterms:created xsi:type="dcterms:W3CDTF">2026-06-24T12:47:00Z</dcterms:created>
  <dcterms:modified xsi:type="dcterms:W3CDTF">2026-06-25T09:32:00Z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vmeerdink</vt:lpwstr>
  </property>
  <property fmtid="{D5CDD505-2E9C-101B-9397-08002B2CF9AE}" pid="3" name="E-Doc documentnummer">
    <vt:lpwstr>-</vt:lpwstr>
  </property>
  <property fmtid="{D5CDD505-2E9C-101B-9397-08002B2CF9AE}" pid="4" name="Header">
    <vt:lpwstr>Verslag NA</vt:lpwstr>
  </property>
  <property fmtid="{D5CDD505-2E9C-101B-9397-08002B2CF9AE}" pid="5" name="HeaderId">
    <vt:lpwstr>E31A07E7FCAE454EAFDDCE4342F171E3</vt:lpwstr>
  </property>
  <property fmtid="{D5CDD505-2E9C-101B-9397-08002B2CF9AE}" pid="6" name="ocw_directie">
    <vt:lpwstr>NA</vt:lpwstr>
  </property>
  <property fmtid="{D5CDD505-2E9C-101B-9397-08002B2CF9AE}" pid="7" name="ocw_naw_adres">
    <vt:lpwstr/>
  </property>
  <property fmtid="{D5CDD505-2E9C-101B-9397-08002B2CF9AE}" pid="8" name="ocw_naw_huisnr">
    <vt:lpwstr/>
  </property>
  <property fmtid="{D5CDD505-2E9C-101B-9397-08002B2CF9AE}" pid="9" name="ocw_naw_land">
    <vt:lpwstr/>
  </property>
  <property fmtid="{D5CDD505-2E9C-101B-9397-08002B2CF9AE}" pid="10" name="ocw_naw_naam">
    <vt:lpwstr/>
  </property>
  <property fmtid="{D5CDD505-2E9C-101B-9397-08002B2CF9AE}" pid="11" name="ocw_naw_org">
    <vt:lpwstr/>
  </property>
  <property fmtid="{D5CDD505-2E9C-101B-9397-08002B2CF9AE}" pid="12" name="ocw_naw_postc">
    <vt:lpwstr/>
  </property>
  <property fmtid="{D5CDD505-2E9C-101B-9397-08002B2CF9AE}" pid="13" name="ocw_naw_titela">
    <vt:lpwstr/>
  </property>
  <property fmtid="{D5CDD505-2E9C-101B-9397-08002B2CF9AE}" pid="14" name="ocw_naw_titelv">
    <vt:lpwstr/>
  </property>
  <property fmtid="{D5CDD505-2E9C-101B-9397-08002B2CF9AE}" pid="15" name="ocw_naw_tussen">
    <vt:lpwstr/>
  </property>
  <property fmtid="{D5CDD505-2E9C-101B-9397-08002B2CF9AE}" pid="16" name="ocw_naw_vrltrs">
    <vt:lpwstr/>
  </property>
  <property fmtid="{D5CDD505-2E9C-101B-9397-08002B2CF9AE}" pid="17" name="ocw_naw_vrnaam">
    <vt:lpwstr/>
  </property>
  <property fmtid="{D5CDD505-2E9C-101B-9397-08002B2CF9AE}" pid="18" name="ocw_naw_woonplaats">
    <vt:lpwstr/>
  </property>
  <property fmtid="{D5CDD505-2E9C-101B-9397-08002B2CF9AE}" pid="19" name="Template">
    <vt:lpwstr>Verslag</vt:lpwstr>
  </property>
  <property fmtid="{D5CDD505-2E9C-101B-9397-08002B2CF9AE}" pid="20" name="TemplateId">
    <vt:lpwstr>A19CCF1E94B64833BFAF5A4AE0C66E4E</vt:lpwstr>
  </property>
  <property fmtid="{D5CDD505-2E9C-101B-9397-08002B2CF9AE}" pid="21" name="Typist">
    <vt:lpwstr>vmeerdink</vt:lpwstr>
  </property>
  <property fmtid="{D5CDD505-2E9C-101B-9397-08002B2CF9AE}" pid="22" name="cs_objectid">
    <vt:lpwstr>64857223</vt:lpwstr>
  </property>
</Properties>
</file>