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7ADB3" w14:textId="10447E12" w:rsidR="00531E45" w:rsidRDefault="00531E45" w:rsidP="004C75BE">
      <w:pPr>
        <w:pStyle w:val="Titel"/>
      </w:pPr>
      <w:r w:rsidRPr="00531E45">
        <w:t xml:space="preserve">Wat is </w:t>
      </w:r>
      <w:r>
        <w:t>digitaal vernietigen?</w:t>
      </w:r>
    </w:p>
    <w:p w14:paraId="5C225206" w14:textId="3108122B" w:rsidR="00DE1A08" w:rsidRPr="00DE1A08" w:rsidRDefault="00DE1A08" w:rsidP="00DE1A08">
      <w:r>
        <w:t>Handreiking Digitaal vernietigen</w:t>
      </w:r>
    </w:p>
    <w:p w14:paraId="237D24F0" w14:textId="1D079667" w:rsidR="00531E45" w:rsidRDefault="000769A9" w:rsidP="00531E45">
      <w:pPr>
        <w:pStyle w:val="Kop1"/>
      </w:pPr>
      <w:r>
        <w:t>&lt;blok&gt;</w:t>
      </w:r>
      <w:r w:rsidR="00531E45">
        <w:t>Toelichting</w:t>
      </w:r>
      <w:r>
        <w:t>&lt;/blok&gt;</w:t>
      </w:r>
    </w:p>
    <w:p w14:paraId="0C95BC3C" w14:textId="34E747C2" w:rsidR="00DE1A08" w:rsidRPr="00DE1A08" w:rsidRDefault="00DE1A08" w:rsidP="00DE1A08">
      <w:r>
        <w:t>Het digitaal vernietigen van overheidsinformatie leidt vaak tot discussies over wat het precies wel en niet inhoudt. Vandaar dat we in deze module een toelichting geven bij het onderwerp.</w:t>
      </w:r>
      <w:r w:rsidR="00AB18A3">
        <w:t xml:space="preserve"> </w:t>
      </w:r>
      <w:r w:rsidR="0055346F">
        <w:t>Daarbij geven we niet alleen definities bij belangrijke kaders en begrippen. Maar gaan we ook in op de praktijk. Daarbij is de praktische informatie alleen bedoeld om beter begrip te krijgen voor begrippen. In deze module geven we dus geen verdere invulling voor uitvoering van digitale vernietiging.</w:t>
      </w:r>
    </w:p>
    <w:p w14:paraId="21202B54" w14:textId="4E91013B" w:rsidR="00531E45" w:rsidRDefault="00531E45" w:rsidP="00531E45">
      <w:pPr>
        <w:pStyle w:val="Kop2"/>
      </w:pPr>
      <w:r>
        <w:t>Definitie</w:t>
      </w:r>
    </w:p>
    <w:p w14:paraId="3DA2FBBB" w14:textId="6121BC93" w:rsidR="00647CD5" w:rsidRDefault="00AB18A3" w:rsidP="00531E45">
      <w:r>
        <w:t xml:space="preserve">Voor de definitie van digitaal vernietigen verwijzen we naar de definitie van het </w:t>
      </w:r>
      <w:hyperlink r:id="rId8" w:history="1">
        <w:r w:rsidRPr="00AB18A3">
          <w:rPr>
            <w:rStyle w:val="Hyperlink"/>
          </w:rPr>
          <w:t>DUTO-proces vernietigen</w:t>
        </w:r>
      </w:hyperlink>
      <w:r>
        <w:t xml:space="preserve"> binnen het DUTO-raamwerk. </w:t>
      </w:r>
      <w:r w:rsidR="00531E45">
        <w:t xml:space="preserve">Digitaal vernietigen </w:t>
      </w:r>
      <w:r w:rsidR="00531E45" w:rsidRPr="00FF44E3">
        <w:t xml:space="preserve">omvat de activiteiten die nodig zijn om </w:t>
      </w:r>
      <w:r w:rsidR="00531E45">
        <w:t xml:space="preserve">digitale </w:t>
      </w:r>
      <w:r w:rsidR="00531E45" w:rsidRPr="00FF44E3">
        <w:t xml:space="preserve">overheidsinformatie op een gecontroleerde manier door of in opdracht van de verantwoordelijke overheidsorganisatie te laten vernietigen. Zodat deze informatie niet meer kenbaar, vindbaar of </w:t>
      </w:r>
      <w:proofErr w:type="spellStart"/>
      <w:r w:rsidR="00531E45" w:rsidRPr="00FF44E3">
        <w:t>reconstrueerbaar</w:t>
      </w:r>
      <w:proofErr w:type="spellEnd"/>
      <w:r w:rsidR="00531E45" w:rsidRPr="00FF44E3">
        <w:t xml:space="preserve"> is</w:t>
      </w:r>
      <w:r w:rsidR="00531E45">
        <w:t xml:space="preserve"> in digitale vorm</w:t>
      </w:r>
      <w:r w:rsidR="00531E45" w:rsidRPr="00FF44E3">
        <w:t>.</w:t>
      </w:r>
    </w:p>
    <w:p w14:paraId="2A815AD0" w14:textId="18BE9595" w:rsidR="00531E45" w:rsidRDefault="0055346F" w:rsidP="00531E45">
      <w:pPr>
        <w:pStyle w:val="Kop2"/>
      </w:pPr>
      <w:r>
        <w:t>Wat moet vernietigd worden?</w:t>
      </w:r>
    </w:p>
    <w:p w14:paraId="0DF3E8F1" w14:textId="14C965AE" w:rsidR="00093CBF" w:rsidRDefault="00421313" w:rsidP="00531E45">
      <w:r w:rsidRPr="00820DDA">
        <w:rPr>
          <w:rStyle w:val="Kop3Char"/>
        </w:rPr>
        <w:t>Digitale overheidsinformatie</w:t>
      </w:r>
      <w:r>
        <w:rPr>
          <w:b/>
          <w:bCs/>
        </w:rPr>
        <w:br/>
      </w:r>
      <w:r w:rsidR="00531E45" w:rsidRPr="00093CBF">
        <w:t>Digitale overheidsinformatie is er in vele vormen zoals tekstdocumenten, presentaties, spreadsheets, video’s, foto’s, (chat) berichten, e-mails, gegevenssets in databases, etc. Deze vormen van overheidsinformatie, die samengesteld zijn uit een verzameling aan elkaar gerelateerde data of gegevens die als eenheid wordt behandeld, noemen we </w:t>
      </w:r>
      <w:hyperlink r:id="rId9" w:history="1">
        <w:r w:rsidR="00531E45" w:rsidRPr="00093CBF">
          <w:rPr>
            <w:b/>
            <w:bCs/>
          </w:rPr>
          <w:t>i</w:t>
        </w:r>
        <w:r w:rsidR="00531E45" w:rsidRPr="00AB18A3">
          <w:t>nformatieobjecten</w:t>
        </w:r>
      </w:hyperlink>
      <w:r w:rsidR="00720192" w:rsidRPr="00093CBF">
        <w:t>.</w:t>
      </w:r>
      <w:r w:rsidR="00AB18A3">
        <w:t xml:space="preserve"> </w:t>
      </w:r>
      <w:r w:rsidR="002F069C">
        <w:t xml:space="preserve">Voor meer informatie over de verhouding tussen overheidsinformatie, gegevensobjecten en informatieobjecten zie het </w:t>
      </w:r>
      <w:hyperlink r:id="rId10" w:history="1">
        <w:r w:rsidR="002F069C" w:rsidRPr="00577049">
          <w:rPr>
            <w:rStyle w:val="Hyperlink"/>
          </w:rPr>
          <w:t>Overheidsinformatiemodel</w:t>
        </w:r>
      </w:hyperlink>
      <w:r w:rsidR="002F069C">
        <w:t xml:space="preserve">. </w:t>
      </w:r>
    </w:p>
    <w:p w14:paraId="1341D6CD" w14:textId="40E12242" w:rsidR="00B41E2E" w:rsidRDefault="00B41E2E" w:rsidP="00235620">
      <w:pPr>
        <w:pStyle w:val="Kop4"/>
      </w:pPr>
      <w:r>
        <w:t>Locatie van informatie</w:t>
      </w:r>
    </w:p>
    <w:p w14:paraId="7444F982" w14:textId="20A2E943" w:rsidR="008A43C6" w:rsidRDefault="008A43C6" w:rsidP="00531E45">
      <w:r w:rsidRPr="008A43C6">
        <w:t>Informatieobjecten bevinden zich</w:t>
      </w:r>
      <w:r w:rsidR="00AB18A3">
        <w:t xml:space="preserve"> verspreid</w:t>
      </w:r>
      <w:r w:rsidRPr="008A43C6">
        <w:t xml:space="preserve"> in verschillende </w:t>
      </w:r>
      <w:r w:rsidR="00AB18A3">
        <w:t>informatie</w:t>
      </w:r>
      <w:r w:rsidRPr="008A43C6">
        <w:t>systemen binnen de organisatie</w:t>
      </w:r>
      <w:r w:rsidR="00AB18A3">
        <w:t xml:space="preserve">. Ze </w:t>
      </w:r>
      <w:r w:rsidRPr="008A43C6">
        <w:t>kunnen zich ook buiten de organisatie bevinden</w:t>
      </w:r>
      <w:r w:rsidR="00AB18A3">
        <w:t>,</w:t>
      </w:r>
      <w:r w:rsidRPr="008A43C6">
        <w:t xml:space="preserve"> </w:t>
      </w:r>
      <w:r w:rsidR="00AB18A3">
        <w:t>b</w:t>
      </w:r>
      <w:r w:rsidRPr="008A43C6">
        <w:t>ijvoorbeeld wanneer deze extern worden gehost</w:t>
      </w:r>
      <w:r>
        <w:t xml:space="preserve"> (bijv. in een </w:t>
      </w:r>
      <w:proofErr w:type="spellStart"/>
      <w:r>
        <w:t>cloud</w:t>
      </w:r>
      <w:proofErr w:type="spellEnd"/>
      <w:r>
        <w:t xml:space="preserve"> omgeving)</w:t>
      </w:r>
      <w:r w:rsidRPr="008A43C6">
        <w:t>.</w:t>
      </w:r>
      <w:r w:rsidR="00EC3FF1">
        <w:t xml:space="preserve"> Dit komt veel voor bij SaaS-oplossingen.</w:t>
      </w:r>
      <w:r w:rsidR="00AB18A3">
        <w:t xml:space="preserve"> Ook deze informatieobjecten moeten worden vernietigd.</w:t>
      </w:r>
    </w:p>
    <w:p w14:paraId="1B7A1D88" w14:textId="77777777" w:rsidR="00694EEC" w:rsidRDefault="00694EEC" w:rsidP="00235620">
      <w:pPr>
        <w:pStyle w:val="Kop4"/>
      </w:pPr>
      <w:r>
        <w:t>Herkomst van informatie</w:t>
      </w:r>
    </w:p>
    <w:p w14:paraId="6381263A" w14:textId="77777777" w:rsidR="00382892" w:rsidRDefault="00382892" w:rsidP="00694EEC">
      <w:r w:rsidRPr="00382892">
        <w:t xml:space="preserve">Wanneer een procedure voor digitale vernietiging wordt opgesteld, is het essentieel om niet alleen naar het informatiesysteem te kijken waarin het uiteindelijke informatieobject is opgenomen, maar naar het </w:t>
      </w:r>
      <w:r w:rsidRPr="00D56CEA">
        <w:rPr>
          <w:b/>
          <w:bCs/>
        </w:rPr>
        <w:t>gehele proces</w:t>
      </w:r>
      <w:r w:rsidRPr="00382892">
        <w:t xml:space="preserve"> waarin dat object tot stand is gekomen. Alleen een procesgerichte benadering biedt voldoende inzicht in alle betrokken gegevensobjecten, systemen en opslaglocaties en voorkomt dat informatie buiten de vernietigingsscope blijft.</w:t>
      </w:r>
    </w:p>
    <w:p w14:paraId="36CBA886" w14:textId="21951FF2" w:rsidR="00694EEC" w:rsidRPr="00820DDA" w:rsidRDefault="00382892" w:rsidP="00694EEC">
      <w:r w:rsidRPr="00382892">
        <w:t xml:space="preserve">Een informatieobject is vaak samengesteld uit verschillende gegevensobjecten die al diverse bewerkingen hebben ondergaan voordat zij onderdeel worden van het te vernietigen informatieobject. Een voorbeeld hiervan zijn </w:t>
      </w:r>
      <w:proofErr w:type="spellStart"/>
      <w:r w:rsidRPr="00382892">
        <w:t>videotulen</w:t>
      </w:r>
      <w:proofErr w:type="spellEnd"/>
      <w:r w:rsidRPr="00382892">
        <w:t xml:space="preserve"> in een dossier van een bestuurlijk overleg. Deze video-opnamen zijn doorgaans geïndexeerd op basis van de agenda.</w:t>
      </w:r>
      <w:r>
        <w:t xml:space="preserve"> </w:t>
      </w:r>
      <w:r w:rsidRPr="00382892">
        <w:t xml:space="preserve">De opnamen worden echter gemaakt met AV-middelen van een andere leverancier, die gebruikmaakt van eigen servers. </w:t>
      </w:r>
      <w:r w:rsidRPr="00382892">
        <w:lastRenderedPageBreak/>
        <w:t>Zonder duidelijke afspraken over het beheer van deze opnamen bestaat het risico dat zij buiten beheer blijven.</w:t>
      </w:r>
      <w:r w:rsidR="00694EEC">
        <w:t xml:space="preserve"> </w:t>
      </w:r>
    </w:p>
    <w:p w14:paraId="4E1A047D" w14:textId="5A10711B" w:rsidR="00966DD3" w:rsidRPr="00820DDA" w:rsidRDefault="00966DD3" w:rsidP="00820DDA">
      <w:pPr>
        <w:pStyle w:val="Kop3"/>
      </w:pPr>
      <w:r w:rsidRPr="00820DDA">
        <w:t>&lt;kader&gt;</w:t>
      </w:r>
    </w:p>
    <w:p w14:paraId="759FA152" w14:textId="6C5DB72D" w:rsidR="00966DD3" w:rsidRDefault="00966DD3">
      <w:pPr>
        <w:pStyle w:val="Kop4"/>
      </w:pPr>
      <w:r w:rsidRPr="00820DDA">
        <w:t>Wanneer spreken we van een kopie?</w:t>
      </w:r>
    </w:p>
    <w:p w14:paraId="7E9767DF" w14:textId="77777777" w:rsidR="005C48A7" w:rsidRDefault="005C48A7" w:rsidP="005C48A7">
      <w:r w:rsidRPr="005C48A7">
        <w:t>Wanneer we het hebben over digitale vernietiging, wordt vaak gesteld dat ook alle kopieën moeten worden vernietigd. Maar wat is precies een kopie? En wanneer is sprake van een nieuw informatieobject?</w:t>
      </w:r>
    </w:p>
    <w:p w14:paraId="1178CCED" w14:textId="77777777" w:rsidR="005C48A7" w:rsidRPr="005C48A7" w:rsidRDefault="005C48A7" w:rsidP="005C48A7">
      <w:r w:rsidRPr="005C48A7">
        <w:t xml:space="preserve">Van een kopie is sprake wanneer een informatieobject wordt gedupliceerd en binnen dezelfde context wordt gebruikt. Bijvoorbeeld wanneer een vergunningaanvraag naar collega's wordt gemaild om advies te vragen. De kopie </w:t>
      </w:r>
      <w:r w:rsidRPr="005C48A7">
        <w:rPr>
          <w:b/>
          <w:bCs/>
        </w:rPr>
        <w:t>ondersteunt in dat geval hetzelfde proces</w:t>
      </w:r>
      <w:r w:rsidRPr="005C48A7">
        <w:t xml:space="preserve"> als het oorspronkelijke informatieobject.</w:t>
      </w:r>
    </w:p>
    <w:p w14:paraId="625A5DC3" w14:textId="496EFFA2" w:rsidR="005C48A7" w:rsidRDefault="005C48A7" w:rsidP="005C48A7">
      <w:r w:rsidRPr="005C48A7">
        <w:t xml:space="preserve">Wanneer een informatieobject echter binnen een andere context wordt gebruikt, spreken we niet langer van een kopie, maar van een nieuw informatieobject. Dit is bijvoorbeeld het geval wanneer bezwaar wordt gemaakt tegen een </w:t>
      </w:r>
      <w:proofErr w:type="spellStart"/>
      <w:r w:rsidRPr="005C48A7">
        <w:t>vergunning</w:t>
      </w:r>
      <w:r>
        <w:t>s</w:t>
      </w:r>
      <w:r w:rsidRPr="005C48A7">
        <w:t>besluit</w:t>
      </w:r>
      <w:proofErr w:type="spellEnd"/>
      <w:r w:rsidRPr="005C48A7">
        <w:t xml:space="preserve"> en de oorspronkelijke vergunningaanvraag wordt opgenomen in het bezwaardossier. De aanvraag vervult daar een andere functie en krijgt een </w:t>
      </w:r>
      <w:r w:rsidRPr="005C48A7">
        <w:rPr>
          <w:b/>
          <w:bCs/>
        </w:rPr>
        <w:t>andere betekenis dan binnen het oorspronkelijke vergunningsproces</w:t>
      </w:r>
      <w:r w:rsidRPr="005C48A7">
        <w:t>.</w:t>
      </w:r>
    </w:p>
    <w:p w14:paraId="0A2ED618" w14:textId="26CA27BE" w:rsidR="00425A3D" w:rsidRDefault="00425A3D" w:rsidP="005C48A7">
      <w:r>
        <w:t>Kortom, h</w:t>
      </w:r>
      <w:r w:rsidRPr="005C48A7">
        <w:t xml:space="preserve">et onderscheid tussen een </w:t>
      </w:r>
      <w:r w:rsidRPr="00425A3D">
        <w:rPr>
          <w:b/>
          <w:bCs/>
        </w:rPr>
        <w:t>kopie</w:t>
      </w:r>
      <w:r w:rsidRPr="005C48A7">
        <w:t xml:space="preserve"> en een </w:t>
      </w:r>
      <w:r w:rsidRPr="00425A3D">
        <w:rPr>
          <w:b/>
          <w:bCs/>
        </w:rPr>
        <w:t>nieuw informatieobject</w:t>
      </w:r>
      <w:r w:rsidRPr="005C48A7">
        <w:t xml:space="preserve"> is van belang voor digitale vernietiging. Kopieën die uitsluitend bestaan ter ondersteuning van hetzelfde proces vallen in beginsel onder hetzelfde beheer- en vernietigingsregime als het oorspronkelijke informatieobject. Een informatieobject dat onderdeel wordt van een ander proces kan daarentegen een eigen bewaartermijn en vernietigingsmoment hebben.</w:t>
      </w:r>
    </w:p>
    <w:p w14:paraId="612457C8" w14:textId="5C35135E" w:rsidR="004A15A6" w:rsidRDefault="004A15A6" w:rsidP="005C48A7">
      <w:r>
        <w:t>Je kan bovenstaande uitleg ook in een tabel gieten:</w:t>
      </w:r>
    </w:p>
    <w:p w14:paraId="110F0FF2" w14:textId="77777777" w:rsidR="004A15A6" w:rsidRDefault="004A15A6" w:rsidP="004A15A6">
      <w:r>
        <w:t>In onderstaande tabel lees je het verschil:</w:t>
      </w:r>
    </w:p>
    <w:tbl>
      <w:tblPr>
        <w:tblStyle w:val="Tabelraster"/>
        <w:tblW w:w="0" w:type="auto"/>
        <w:tblLook w:val="04A0" w:firstRow="1" w:lastRow="0" w:firstColumn="1" w:lastColumn="0" w:noHBand="0" w:noVBand="1"/>
      </w:tblPr>
      <w:tblGrid>
        <w:gridCol w:w="3397"/>
        <w:gridCol w:w="2696"/>
        <w:gridCol w:w="2969"/>
      </w:tblGrid>
      <w:tr w:rsidR="004A15A6" w14:paraId="5091F3BD" w14:textId="77777777" w:rsidTr="009B6D0C">
        <w:tc>
          <w:tcPr>
            <w:tcW w:w="3397" w:type="dxa"/>
          </w:tcPr>
          <w:p w14:paraId="09E365F9" w14:textId="77777777" w:rsidR="004A15A6" w:rsidRPr="009B6D0C" w:rsidRDefault="004A15A6" w:rsidP="009B6D0C">
            <w:pPr>
              <w:rPr>
                <w:b/>
                <w:bCs/>
              </w:rPr>
            </w:pPr>
            <w:r>
              <w:rPr>
                <w:b/>
                <w:bCs/>
              </w:rPr>
              <w:t>Als dit de situatie is:</w:t>
            </w:r>
          </w:p>
        </w:tc>
        <w:tc>
          <w:tcPr>
            <w:tcW w:w="2696" w:type="dxa"/>
          </w:tcPr>
          <w:p w14:paraId="73CBB7A1" w14:textId="77777777" w:rsidR="004A15A6" w:rsidRPr="009B6D0C" w:rsidRDefault="004A15A6" w:rsidP="009B6D0C">
            <w:pPr>
              <w:rPr>
                <w:b/>
                <w:bCs/>
              </w:rPr>
            </w:pPr>
            <w:r w:rsidRPr="009B6D0C">
              <w:rPr>
                <w:b/>
                <w:bCs/>
              </w:rPr>
              <w:t>Dan is het een:</w:t>
            </w:r>
          </w:p>
        </w:tc>
        <w:tc>
          <w:tcPr>
            <w:tcW w:w="2969" w:type="dxa"/>
          </w:tcPr>
          <w:p w14:paraId="695081D7" w14:textId="77777777" w:rsidR="004A15A6" w:rsidRPr="009B6D0C" w:rsidRDefault="004A15A6" w:rsidP="009B6D0C">
            <w:pPr>
              <w:rPr>
                <w:b/>
                <w:bCs/>
              </w:rPr>
            </w:pPr>
            <w:r w:rsidRPr="009B6D0C">
              <w:rPr>
                <w:b/>
                <w:bCs/>
              </w:rPr>
              <w:t>Voorbeeld:</w:t>
            </w:r>
          </w:p>
        </w:tc>
      </w:tr>
      <w:tr w:rsidR="004A15A6" w14:paraId="4E1197E2" w14:textId="77777777" w:rsidTr="009B6D0C">
        <w:tc>
          <w:tcPr>
            <w:tcW w:w="3397" w:type="dxa"/>
          </w:tcPr>
          <w:p w14:paraId="0A408350" w14:textId="77777777" w:rsidR="004A15A6" w:rsidRDefault="004A15A6" w:rsidP="009B6D0C">
            <w:r>
              <w:t xml:space="preserve">Duplicaat van een informatieobject wordt binnen </w:t>
            </w:r>
            <w:r w:rsidRPr="009B6D0C">
              <w:rPr>
                <w:b/>
                <w:bCs/>
              </w:rPr>
              <w:t>dezelfde</w:t>
            </w:r>
            <w:r>
              <w:t xml:space="preserve"> </w:t>
            </w:r>
            <w:r w:rsidRPr="009B6D0C">
              <w:rPr>
                <w:b/>
                <w:bCs/>
              </w:rPr>
              <w:t xml:space="preserve">context </w:t>
            </w:r>
            <w:r>
              <w:t>gebruikt</w:t>
            </w:r>
          </w:p>
        </w:tc>
        <w:tc>
          <w:tcPr>
            <w:tcW w:w="2696" w:type="dxa"/>
          </w:tcPr>
          <w:p w14:paraId="67FA4BE2" w14:textId="77777777" w:rsidR="004A15A6" w:rsidRDefault="004A15A6" w:rsidP="009B6D0C">
            <w:r>
              <w:t>Kopie</w:t>
            </w:r>
          </w:p>
        </w:tc>
        <w:tc>
          <w:tcPr>
            <w:tcW w:w="2969" w:type="dxa"/>
          </w:tcPr>
          <w:p w14:paraId="083E034F" w14:textId="77777777" w:rsidR="004A15A6" w:rsidRDefault="004A15A6" w:rsidP="009B6D0C">
            <w:r>
              <w:t>Je maakt een kopie van een vergunningsaanvraag en mailt deze door naar collega’s voor advies</w:t>
            </w:r>
          </w:p>
        </w:tc>
      </w:tr>
      <w:tr w:rsidR="004A15A6" w14:paraId="7E18CF56" w14:textId="77777777" w:rsidTr="009B6D0C">
        <w:tc>
          <w:tcPr>
            <w:tcW w:w="3397" w:type="dxa"/>
          </w:tcPr>
          <w:p w14:paraId="13FC9D0F" w14:textId="1D81381E" w:rsidR="004A15A6" w:rsidRDefault="004A15A6" w:rsidP="009B6D0C">
            <w:r>
              <w:t xml:space="preserve">Informatieobject wordt binnen een </w:t>
            </w:r>
            <w:r w:rsidRPr="009B6D0C">
              <w:rPr>
                <w:b/>
                <w:bCs/>
              </w:rPr>
              <w:t>nieuwe</w:t>
            </w:r>
            <w:r>
              <w:t xml:space="preserve"> </w:t>
            </w:r>
            <w:r w:rsidRPr="009B6D0C">
              <w:rPr>
                <w:b/>
                <w:bCs/>
              </w:rPr>
              <w:t>context</w:t>
            </w:r>
            <w:r>
              <w:t xml:space="preserve"> gebruikt</w:t>
            </w:r>
          </w:p>
        </w:tc>
        <w:tc>
          <w:tcPr>
            <w:tcW w:w="2696" w:type="dxa"/>
          </w:tcPr>
          <w:p w14:paraId="5D2207C3" w14:textId="77777777" w:rsidR="004A15A6" w:rsidRDefault="004A15A6" w:rsidP="009B6D0C">
            <w:r>
              <w:t>Nieuw informatieobject</w:t>
            </w:r>
          </w:p>
        </w:tc>
        <w:tc>
          <w:tcPr>
            <w:tcW w:w="2969" w:type="dxa"/>
          </w:tcPr>
          <w:p w14:paraId="7D90B055" w14:textId="77777777" w:rsidR="004A15A6" w:rsidRDefault="004A15A6" w:rsidP="009B6D0C">
            <w:r>
              <w:t>Een bezwaar wordt gemaakt op een vergunningaanvraag.</w:t>
            </w:r>
          </w:p>
          <w:p w14:paraId="32C9ADAF" w14:textId="77777777" w:rsidR="004A15A6" w:rsidRDefault="004A15A6" w:rsidP="009B6D0C">
            <w:r>
              <w:t xml:space="preserve">Je neemt de originele aanvraag mee in de beoordeling van het bezwaar. </w:t>
            </w:r>
          </w:p>
        </w:tc>
      </w:tr>
    </w:tbl>
    <w:p w14:paraId="3E132699" w14:textId="77777777" w:rsidR="004A15A6" w:rsidRPr="005C48A7" w:rsidRDefault="004A15A6" w:rsidP="005C48A7"/>
    <w:p w14:paraId="640F3CB9" w14:textId="2F78B88A" w:rsidR="000655C4" w:rsidRDefault="00966DD3" w:rsidP="00203CB2">
      <w:pPr>
        <w:pStyle w:val="Kop3"/>
      </w:pPr>
      <w:r w:rsidRPr="00820DDA">
        <w:t>&lt;/kader&gt;</w:t>
      </w:r>
    </w:p>
    <w:p w14:paraId="77B0BF7E" w14:textId="77777777" w:rsidR="00AC4582" w:rsidRDefault="00421313" w:rsidP="00421313">
      <w:r w:rsidRPr="00820DDA">
        <w:rPr>
          <w:rStyle w:val="Kop3Char"/>
        </w:rPr>
        <w:t xml:space="preserve">Vernietigen </w:t>
      </w:r>
      <w:r w:rsidR="008A43C6" w:rsidRPr="00820DDA">
        <w:rPr>
          <w:rStyle w:val="Kop3Char"/>
        </w:rPr>
        <w:t>van kopieën op</w:t>
      </w:r>
      <w:r w:rsidRPr="00820DDA">
        <w:rPr>
          <w:rStyle w:val="Kop3Char"/>
        </w:rPr>
        <w:t xml:space="preserve"> back-ups</w:t>
      </w:r>
      <w:r>
        <w:br/>
      </w:r>
      <w:r w:rsidRPr="009E68DC">
        <w:t xml:space="preserve">In de papieren informatiehuishouding wordt vernietiging begrepen als het fysiek tenietdoen van stukken. In de digitale informatiehuishouding gaat het niet primair om vernietiging van fysieke dragers, de hardware, maar om het wissen, verwijderen of ontoegankelijk maken van </w:t>
      </w:r>
      <w:r w:rsidR="00C069B6">
        <w:t>informatieobjecten</w:t>
      </w:r>
      <w:r w:rsidRPr="009E68DC">
        <w:t xml:space="preserve">. Dat betekent dat de gegevens waaruit het </w:t>
      </w:r>
      <w:r w:rsidR="00C069B6">
        <w:t>informatieobje</w:t>
      </w:r>
      <w:r w:rsidR="00966DD3">
        <w:t>c</w:t>
      </w:r>
      <w:r w:rsidR="00C069B6">
        <w:t>t</w:t>
      </w:r>
      <w:r w:rsidR="00C069B6" w:rsidRPr="009E68DC">
        <w:t xml:space="preserve"> </w:t>
      </w:r>
      <w:r w:rsidRPr="009E68DC">
        <w:t>bestaat niet meer zijn te reconstrueren, waardoor het als geheel niet meer toegan</w:t>
      </w:r>
      <w:r>
        <w:t>k</w:t>
      </w:r>
      <w:r w:rsidRPr="009E68DC">
        <w:t xml:space="preserve">elijk te maken is. Dit geldt in beginsel ook voor aanwezige </w:t>
      </w:r>
      <w:r w:rsidRPr="00010A4C">
        <w:rPr>
          <w:b/>
          <w:bCs/>
        </w:rPr>
        <w:t>back-ups</w:t>
      </w:r>
      <w:r w:rsidRPr="009E68DC">
        <w:t xml:space="preserve"> van de documenten en bijbehorende metadata, hoewel het </w:t>
      </w:r>
      <w:r w:rsidRPr="009E68DC">
        <w:lastRenderedPageBreak/>
        <w:t xml:space="preserve">wenselijk of zelfs noodzakelijk kan zijn om bepaalde metagegevens te behouden om te bewijzen dat de vernietigde </w:t>
      </w:r>
      <w:r w:rsidR="00C069B6">
        <w:t>informatieobjecten</w:t>
      </w:r>
      <w:r w:rsidR="00C069B6" w:rsidRPr="009E68DC">
        <w:t xml:space="preserve"> </w:t>
      </w:r>
      <w:r w:rsidRPr="009E68DC">
        <w:t>hebben bestaan en dat zij op de juiste wijze zijn vernietigd.</w:t>
      </w:r>
      <w:r w:rsidR="00AC4582">
        <w:t xml:space="preserve"> </w:t>
      </w:r>
    </w:p>
    <w:p w14:paraId="10591C76" w14:textId="30DCAF05" w:rsidR="00421313" w:rsidRDefault="00E94913" w:rsidP="00421313">
      <w:r w:rsidRPr="00E94913">
        <w:rPr>
          <w:b/>
          <w:bCs/>
          <w:i/>
          <w:iCs/>
        </w:rPr>
        <w:t>Metadata opnemen in het vernietigingsdossier</w:t>
      </w:r>
      <w:r>
        <w:br/>
      </w:r>
      <w:r w:rsidR="00AC4582" w:rsidRPr="00365ABB">
        <w:t>In het proces van vernietigen heb je metadata nodig om bijv. de juiste selectie te maken middels een vernietigingslijst. In de praktijk is het overigens niet altijd nodig om persoonsgegevens in de stukken van het vernietigingsdossier te vermelden. Stel: een gemeente vernietigt oude aanvragen voor parkeervergunningen. De dossiers kunnen bijvoorbeeld persoonsgegevens bevatten zoals naam, adres, kenteken en soms betaalgegevens. Volgens de selectielijst mogen deze dossiers na een bepaalde termijn worden vernietigd en wordt een vernietigingslijst opgesteld. In plaats van persoonsgegevens op te nemen op de vernietigingslijst kun je ook werken met interne kenmerken zoals een zaak- of dossiernummer, registratiedatum, type vergunning. Op deze manier wordt rekening gehouden met de principes van dataminimalisatie uit de AVG.</w:t>
      </w:r>
    </w:p>
    <w:p w14:paraId="38E561DE" w14:textId="23C252CB" w:rsidR="00116B57" w:rsidRDefault="00E94913" w:rsidP="00421313">
      <w:r w:rsidRPr="00E94913">
        <w:rPr>
          <w:b/>
          <w:bCs/>
          <w:i/>
          <w:iCs/>
        </w:rPr>
        <w:t>Kopieën in gekoppelde systemen</w:t>
      </w:r>
      <w:r>
        <w:br/>
      </w:r>
      <w:r w:rsidR="006A65B9" w:rsidRPr="00E94913">
        <w:t>Het bestaan van kopieën in gekoppelde systemen betekent niet automatisch dat voor elk systeem een afzonderlijke vernietigingsprocedure moet worden uitgevoerd. Wanneer deze kopieën onderdeel zijn van hetzelfde informatiebeheerproces en geen zelfstandige betekenis hebben, kunnen zij</w:t>
      </w:r>
      <w:r w:rsidR="006A65B9" w:rsidRPr="006A65B9">
        <w:t xml:space="preserve"> worden </w:t>
      </w:r>
      <w:r w:rsidR="006A65B9" w:rsidRPr="00E94913">
        <w:t xml:space="preserve">beschouwd als afgeleiden van het oorspronkelijke informatieobject. De vernietigingsprocedure richt zich dan primair op het origineel, waarbij </w:t>
      </w:r>
      <w:r w:rsidR="005C48A7" w:rsidRPr="00E94913">
        <w:t xml:space="preserve">middels het nemen van passende maatregelen </w:t>
      </w:r>
      <w:r w:rsidR="006A65B9" w:rsidRPr="00E94913">
        <w:t>wordt geborgd dat de gekoppelde kopieën eveneens worden verwijderd of niet langer toegankelijk zijn.</w:t>
      </w:r>
      <w:r w:rsidR="006A65B9" w:rsidRPr="006A65B9">
        <w:t xml:space="preserve"> </w:t>
      </w:r>
    </w:p>
    <w:p w14:paraId="05A585B2" w14:textId="013EA932" w:rsidR="009B1DF5" w:rsidRDefault="00E94913" w:rsidP="00421313">
      <w:proofErr w:type="spellStart"/>
      <w:r w:rsidRPr="00E94913">
        <w:rPr>
          <w:b/>
          <w:bCs/>
          <w:i/>
          <w:iCs/>
        </w:rPr>
        <w:t>Backups</w:t>
      </w:r>
      <w:proofErr w:type="spellEnd"/>
      <w:r w:rsidRPr="00E94913">
        <w:rPr>
          <w:b/>
          <w:bCs/>
          <w:i/>
          <w:iCs/>
        </w:rPr>
        <w:t xml:space="preserve"> en digitaal vernietigen</w:t>
      </w:r>
      <w:r>
        <w:br/>
      </w:r>
      <w:r w:rsidR="009B1DF5" w:rsidRPr="009B1DF5">
        <w:t>Houd</w:t>
      </w:r>
      <w:r w:rsidR="00C069B6">
        <w:t>t</w:t>
      </w:r>
      <w:r w:rsidR="009B1DF5" w:rsidRPr="009B1DF5">
        <w:t xml:space="preserve"> rekening met de risico’s van het niet vernietigen van kopieën op back-ups. Bepaal daarom in hoeverre en op welke manier informatie op back-ups wordt meegenomen in het proces van digitaal vernietigen. Afhankelijk van de aard van de informatie kunnen hierbij verschillende back-upstrategieën worden toegepast, bijvoorbeeld wanneer het gaat om privacygevoelige of </w:t>
      </w:r>
      <w:proofErr w:type="spellStart"/>
      <w:r w:rsidR="009B1DF5" w:rsidRPr="009B1DF5">
        <w:t>bedrijfskritische</w:t>
      </w:r>
      <w:proofErr w:type="spellEnd"/>
      <w:r w:rsidR="009B1DF5" w:rsidRPr="009B1DF5">
        <w:t xml:space="preserve"> gegevens.</w:t>
      </w:r>
      <w:r w:rsidR="009B1DF5">
        <w:t xml:space="preserve"> </w:t>
      </w:r>
      <w:r w:rsidR="009B1DF5" w:rsidRPr="009B1DF5">
        <w:t xml:space="preserve">Het is de verantwoordelijkheid van overheidsorganisaties om deze risico’s in kaart te brengen en passende maatregelen te treffen. Daarbij is het van belang om tijdig afstemming te zoeken </w:t>
      </w:r>
      <w:r w:rsidR="009B1DF5">
        <w:t xml:space="preserve">binnen de organisatie </w:t>
      </w:r>
      <w:r w:rsidR="009B1DF5" w:rsidRPr="009B1DF5">
        <w:t>met betrokken partijen, zoals IT-afdelingen</w:t>
      </w:r>
      <w:r w:rsidR="00C069B6">
        <w:t>, informatiebeveiliging specialisten</w:t>
      </w:r>
      <w:r w:rsidR="009B1DF5" w:rsidRPr="009B1DF5">
        <w:t xml:space="preserve"> en functioneel beheerders, zodat </w:t>
      </w:r>
      <w:r w:rsidR="009B1DF5">
        <w:t xml:space="preserve">afspraken worden vastgesteld en </w:t>
      </w:r>
      <w:r w:rsidR="009B1DF5" w:rsidRPr="009B1DF5">
        <w:t>het proces van digitaal vernietigen zorgvuldig en effectief kan worden uitgevoerd.</w:t>
      </w:r>
    </w:p>
    <w:p w14:paraId="0D1F3CB8" w14:textId="4572105F" w:rsidR="00531E45" w:rsidRDefault="00531E45" w:rsidP="000769A9">
      <w:pPr>
        <w:pStyle w:val="Kop2"/>
      </w:pPr>
      <w:r>
        <w:t xml:space="preserve">Wettelijke </w:t>
      </w:r>
      <w:r w:rsidR="00BA2C81">
        <w:t>grondslag voor vernietiging</w:t>
      </w:r>
    </w:p>
    <w:p w14:paraId="759D4757" w14:textId="3A1C0C20" w:rsidR="003A644E" w:rsidRPr="003A644E" w:rsidRDefault="003A644E" w:rsidP="003A644E">
      <w:r w:rsidRPr="003A644E">
        <w:t xml:space="preserve">De wettelijke grondslag voor vernietigen ligt in artikel 5.3, lid 1 van de </w:t>
      </w:r>
      <w:r w:rsidR="00CF6FD4">
        <w:t>A</w:t>
      </w:r>
      <w:r w:rsidRPr="003A644E">
        <w:t>rchiefwet</w:t>
      </w:r>
      <w:r>
        <w:t xml:space="preserve"> en daarbij nog specifieker; het selectiebesluit.</w:t>
      </w:r>
      <w:r w:rsidR="00CF6FD4">
        <w:t xml:space="preserve"> </w:t>
      </w:r>
    </w:p>
    <w:p w14:paraId="658B360E" w14:textId="77DD0A68" w:rsidR="000769A9" w:rsidRDefault="003A644E" w:rsidP="003A644E">
      <w:r>
        <w:t>“</w:t>
      </w:r>
      <w:r w:rsidRPr="003A644E">
        <w:t xml:space="preserve">Het verantwoordelijke overheidsorgaan treft </w:t>
      </w:r>
      <w:r w:rsidRPr="003A644E">
        <w:rPr>
          <w:i/>
          <w:iCs/>
        </w:rPr>
        <w:t>passende maatregelen</w:t>
      </w:r>
      <w:r w:rsidRPr="003A644E">
        <w:t xml:space="preserve"> om ervoor te zorgen dat de documenten waarvan de bewaartermijn, bedoeld in artikel 5.1, tweede lid, onderdeel b, is verstreken en die niet op grond van artikel 5.1, vijfde lid, onderdeel c, van vernietiging zijn uitgezonderd, worden </w:t>
      </w:r>
      <w:r w:rsidRPr="003A644E">
        <w:rPr>
          <w:i/>
          <w:iCs/>
        </w:rPr>
        <w:t>vernietigd</w:t>
      </w:r>
      <w:r w:rsidRPr="003A644E">
        <w:t>.</w:t>
      </w:r>
      <w:r>
        <w:t>”</w:t>
      </w:r>
    </w:p>
    <w:p w14:paraId="73CD054C" w14:textId="455C6A24" w:rsidR="000769A9" w:rsidRDefault="000769A9" w:rsidP="003A644E">
      <w:r>
        <w:t xml:space="preserve">Informatieobjecten waarvan de bewaartermijn uit het selectiebesluit zijn verlopen, en niet zijn uitgezonderd van vernietiging, moeten dus worden vernietigd. </w:t>
      </w:r>
      <w:r w:rsidR="00B53CE0">
        <w:t>Daarbij worden ook enige eisen gesteld om tot rechtmatige vernietiging over te kunnen gaan:</w:t>
      </w:r>
    </w:p>
    <w:p w14:paraId="6DDB31C3" w14:textId="088C4672" w:rsidR="00B53CE0" w:rsidRDefault="00B53CE0" w:rsidP="00B53CE0">
      <w:pPr>
        <w:pStyle w:val="Lijstalinea"/>
        <w:numPr>
          <w:ilvl w:val="0"/>
          <w:numId w:val="10"/>
        </w:numPr>
      </w:pPr>
      <w:r>
        <w:t>Er zijn beheerregels opgesteld ten aanzien van vernietiging (Archiefwet 4.2.2 b.)</w:t>
      </w:r>
    </w:p>
    <w:p w14:paraId="2B22F49E" w14:textId="117C2BA7" w:rsidR="00B53CE0" w:rsidRDefault="00B53CE0" w:rsidP="00B53CE0">
      <w:pPr>
        <w:pStyle w:val="Lijstalinea"/>
        <w:numPr>
          <w:ilvl w:val="0"/>
          <w:numId w:val="10"/>
        </w:numPr>
      </w:pPr>
      <w:r>
        <w:t>Er is een procesbeschrijving voor vernietiging (</w:t>
      </w:r>
      <w:r w:rsidR="00816C25">
        <w:t>Archiefbesluit 4.1.1)</w:t>
      </w:r>
    </w:p>
    <w:p w14:paraId="3384B42F" w14:textId="0DDC0787" w:rsidR="00816C25" w:rsidRDefault="00816C25" w:rsidP="00816C25">
      <w:pPr>
        <w:pStyle w:val="Lijstalinea"/>
        <w:numPr>
          <w:ilvl w:val="0"/>
          <w:numId w:val="10"/>
        </w:numPr>
      </w:pPr>
      <w:r>
        <w:t>Er is een verklaring opgesteld van de vernietiging (Archiefbesluit 4.1.2</w:t>
      </w:r>
    </w:p>
    <w:p w14:paraId="34A5964D" w14:textId="781F7FFF" w:rsidR="00531E45" w:rsidRDefault="009555F1" w:rsidP="001256BF">
      <w:pPr>
        <w:pStyle w:val="Kop1"/>
      </w:pPr>
      <w:r>
        <w:lastRenderedPageBreak/>
        <w:t>&lt;blok&gt;</w:t>
      </w:r>
      <w:r w:rsidR="001256BF">
        <w:t>Methoden van vernietiging</w:t>
      </w:r>
      <w:r>
        <w:t>&lt;/blok&gt;</w:t>
      </w:r>
    </w:p>
    <w:p w14:paraId="6C32EAA8" w14:textId="2097DF9B" w:rsidR="003A72B2" w:rsidRDefault="003A72B2" w:rsidP="001256BF">
      <w:r>
        <w:t>In dit deel worden verschillende wijzen/methoden besproken waarop vernietiging kan worden uitgevoerd. Deze toelichting is bedoeld om meer begrip te krijgen bij bepaalde methoden. Daarbij gaat het niet om hoe de verschillende methodes worden uitgevoerd. Maar eerder over begrip krijgen zodat je in gesprekken met bijvoorbeeld IT’ers een beeld hebt van bepaalde begrippen.</w:t>
      </w:r>
    </w:p>
    <w:p w14:paraId="43BBD500" w14:textId="6E487164" w:rsidR="00CD18E6" w:rsidRDefault="00217E96" w:rsidP="001256BF">
      <w:r>
        <w:t xml:space="preserve">De wijze/methode van vernietiging die gehanteerd wordt is afhankelijk </w:t>
      </w:r>
      <w:r w:rsidR="00A2086D">
        <w:t xml:space="preserve">van </w:t>
      </w:r>
      <w:r w:rsidR="000108AD">
        <w:t xml:space="preserve">de </w:t>
      </w:r>
      <w:r>
        <w:t xml:space="preserve">plek waar de informatieobjecten zich bevinden. </w:t>
      </w:r>
      <w:r w:rsidR="00CD18E6" w:rsidRPr="00CD18E6">
        <w:t xml:space="preserve">De beschikbare vernietigingsmethoden en de mate van controle over de uitvoering verschillen per opslagvorm. </w:t>
      </w:r>
      <w:r>
        <w:t>Informatie</w:t>
      </w:r>
      <w:r w:rsidR="00A2086D">
        <w:t>objecten</w:t>
      </w:r>
      <w:r>
        <w:t xml:space="preserve"> kunnen zijn opgeslagen in: </w:t>
      </w:r>
    </w:p>
    <w:p w14:paraId="178BC90C" w14:textId="721496FC" w:rsidR="00CD18E6" w:rsidRDefault="00E94913" w:rsidP="00CD18E6">
      <w:pPr>
        <w:pStyle w:val="Lijstalinea"/>
        <w:numPr>
          <w:ilvl w:val="0"/>
          <w:numId w:val="7"/>
        </w:numPr>
      </w:pPr>
      <w:r>
        <w:t>On</w:t>
      </w:r>
      <w:r w:rsidR="00CD18E6">
        <w:t>-</w:t>
      </w:r>
      <w:proofErr w:type="spellStart"/>
      <w:r>
        <w:t>premise</w:t>
      </w:r>
      <w:proofErr w:type="spellEnd"/>
      <w:r w:rsidR="00CD18E6">
        <w:t xml:space="preserve"> oplossingen</w:t>
      </w:r>
    </w:p>
    <w:p w14:paraId="565A0012" w14:textId="3D704820" w:rsidR="00CD18E6" w:rsidRDefault="00CD18E6" w:rsidP="00CD18E6">
      <w:pPr>
        <w:pStyle w:val="Lijstalinea"/>
      </w:pPr>
      <w:r w:rsidRPr="00CD18E6">
        <w:t>Bij on-</w:t>
      </w:r>
      <w:proofErr w:type="spellStart"/>
      <w:r w:rsidRPr="00CD18E6">
        <w:t>premise</w:t>
      </w:r>
      <w:proofErr w:type="spellEnd"/>
      <w:r w:rsidRPr="00CD18E6">
        <w:t xml:space="preserve"> opslag bevinden de informatieobjecten zich op systemen en gegevensdragers die door de organisatie zelf worden beheerd, zoals bestandsservers, databases, laptops, werkstations, back-upsystemen of opslagmedia in een eigen datacenter.</w:t>
      </w:r>
    </w:p>
    <w:p w14:paraId="24704B15" w14:textId="4C2763BB" w:rsidR="00CD18E6" w:rsidRDefault="00E94913" w:rsidP="00CD18E6">
      <w:pPr>
        <w:pStyle w:val="Lijstalinea"/>
        <w:numPr>
          <w:ilvl w:val="0"/>
          <w:numId w:val="7"/>
        </w:numPr>
      </w:pPr>
      <w:proofErr w:type="spellStart"/>
      <w:r>
        <w:t>Saas</w:t>
      </w:r>
      <w:proofErr w:type="spellEnd"/>
      <w:r w:rsidR="00CD18E6">
        <w:t>- en cloudoplossingen</w:t>
      </w:r>
    </w:p>
    <w:p w14:paraId="347174B8" w14:textId="2EEBBAF6" w:rsidR="00CD18E6" w:rsidRDefault="00CD18E6" w:rsidP="00CD18E6">
      <w:pPr>
        <w:pStyle w:val="Lijstalinea"/>
      </w:pPr>
      <w:r w:rsidRPr="00CD18E6">
        <w:t>Bij SaaS- en cloudoplossingen bevinden de informatieobjecten zich op systemen die worden beheerd door een externe leverancier. De organisatie heeft daardoor vaak minder directe invloed op de technische uitvoering van de vernietiging.</w:t>
      </w:r>
    </w:p>
    <w:p w14:paraId="204869B1" w14:textId="46267EA6" w:rsidR="00756847" w:rsidRDefault="00756847" w:rsidP="006F298D">
      <w:r>
        <w:t xml:space="preserve">De bovengenoemde opslagvormen sluiten ook aan op de </w:t>
      </w:r>
      <w:hyperlink r:id="rId11" w:history="1">
        <w:r w:rsidRPr="00756847">
          <w:rPr>
            <w:rStyle w:val="Hyperlink"/>
          </w:rPr>
          <w:t>DUTO-implementatiepatronen</w:t>
        </w:r>
      </w:hyperlink>
      <w:r>
        <w:t xml:space="preserve"> uit het DUTO-raamwerk. Het implementatiepatroon geeft inzicht in de mate waarin een organisatie zelf verantwoordelijk is voor het beheer van informatieobjecten en de onderliggende technische voorzieningen. </w:t>
      </w:r>
      <w:r w:rsidR="00261820" w:rsidRPr="00261820">
        <w:t>Naarmate een organisatie meer afhankelijk is van een externe leverancier voor opslag en beheer van informatieobjecten, zal zij ook meer afhankelijk zijn van de door die leverancier geboden mogelijkheden en afspraken rondom vernietiging. Daarom is het van belang om bij de inrichting van vernietigingsprocessen rekening te houden met het relevante DUTO-implementatiepatroon.</w:t>
      </w:r>
    </w:p>
    <w:p w14:paraId="4664CE90" w14:textId="69850F99" w:rsidR="006F298D" w:rsidRDefault="006F298D" w:rsidP="006F298D">
      <w:r>
        <w:t xml:space="preserve">Naast de plek waar de informatieobjecten </w:t>
      </w:r>
      <w:r w:rsidR="00261820">
        <w:t>zich bevinden</w:t>
      </w:r>
      <w:r>
        <w:t xml:space="preserve"> speelt de vertrouwelijkheid/risicogevoeligheid van de gegevens ook een belangrijke ro</w:t>
      </w:r>
      <w:r w:rsidR="00ED0590">
        <w:t>l wat voornamelijk bepaald of gegevens enkelvoudig of meervoudig overschreven dienen te worden.</w:t>
      </w:r>
    </w:p>
    <w:p w14:paraId="3B017B10" w14:textId="25F36CB5" w:rsidR="001256BF" w:rsidRDefault="001256BF" w:rsidP="004D52EC">
      <w:pPr>
        <w:pStyle w:val="Kop3"/>
      </w:pPr>
      <w:r>
        <w:t>Eenmalig of meervoudig overschrijven</w:t>
      </w:r>
    </w:p>
    <w:p w14:paraId="0C6BB109" w14:textId="2BDAAF83" w:rsidR="00904F07" w:rsidRPr="00904F07" w:rsidRDefault="00904F07" w:rsidP="00B7650D">
      <w:r w:rsidRPr="00904F07">
        <w:t>Bij het vernietigen van digitale informatieobjecten is het belangrijk om na te denken over het risico dat ontstaat wanneer gegevens alsnog kunnen worden teruggehaald. Een maatregel die daarbij kan worden toegepast is het overschrijven van de opslaglocatie waarop de gegevens staan.</w:t>
      </w:r>
      <w:r>
        <w:t xml:space="preserve"> Hierbij kan een onderscheid worden gemaakt tussen eenmalig en meervoudig overschrijven.</w:t>
      </w:r>
    </w:p>
    <w:p w14:paraId="00B5DC95" w14:textId="7280939D" w:rsidR="00C874F1" w:rsidRPr="00C874F1" w:rsidRDefault="008B2878" w:rsidP="00B7650D">
      <w:pPr>
        <w:rPr>
          <w:b/>
          <w:bCs/>
        </w:rPr>
      </w:pPr>
      <w:r w:rsidRPr="008B2878">
        <w:rPr>
          <w:b/>
          <w:bCs/>
        </w:rPr>
        <w:t>Eenmalig overschrijven</w:t>
      </w:r>
      <w:r w:rsidR="00C874F1">
        <w:rPr>
          <w:b/>
          <w:bCs/>
        </w:rPr>
        <w:br/>
      </w:r>
      <w:r w:rsidR="00C874F1" w:rsidRPr="00C874F1">
        <w:t>Bij eenmalig overschrijven wordt de oorspronkelijke informatie één keer vervangen door andere gegevens (bijvoorbeeld nullen of willekeurige tekens)</w:t>
      </w:r>
      <w:r w:rsidR="00C874F1">
        <w:t xml:space="preserve"> </w:t>
      </w:r>
      <w:r w:rsidR="00C874F1" w:rsidRPr="008B2878">
        <w:t>op de opslagdrager (harddisk, SSD, USB, etc.)</w:t>
      </w:r>
      <w:r w:rsidR="00C874F1" w:rsidRPr="00C874F1">
        <w:t>. Voor de meeste reguliere situaties is dit voldoende om te voorkomen dat gegevens met gangbare software kunnen worden hersteld.</w:t>
      </w:r>
    </w:p>
    <w:p w14:paraId="406192C3" w14:textId="0AEEF6FD" w:rsidR="00C874F1" w:rsidRPr="00584B86" w:rsidRDefault="00C874F1" w:rsidP="00B7650D">
      <w:pPr>
        <w:rPr>
          <w:i/>
          <w:iCs/>
        </w:rPr>
      </w:pPr>
      <w:r w:rsidRPr="00584B86">
        <w:rPr>
          <w:i/>
          <w:iCs/>
        </w:rPr>
        <w:t>Wanneer toepassen?</w:t>
      </w:r>
    </w:p>
    <w:p w14:paraId="0A6AA6FB" w14:textId="66E37E7B" w:rsidR="00C40623" w:rsidRDefault="00C874F1" w:rsidP="00C40623">
      <w:pPr>
        <w:pStyle w:val="Lijstalinea"/>
        <w:numPr>
          <w:ilvl w:val="0"/>
          <w:numId w:val="11"/>
        </w:numPr>
      </w:pPr>
      <w:r>
        <w:t xml:space="preserve">Wanneer de informatie een beperkt vertrouwelijkheidsrisico heeft. </w:t>
      </w:r>
    </w:p>
    <w:p w14:paraId="07791102" w14:textId="6C2BC9A4" w:rsidR="00C40623" w:rsidRDefault="00C874F1" w:rsidP="00E02808">
      <w:pPr>
        <w:pStyle w:val="Lijstalinea"/>
        <w:numPr>
          <w:ilvl w:val="0"/>
          <w:numId w:val="11"/>
        </w:numPr>
      </w:pPr>
      <w:r>
        <w:t>Wanneer de kans klein is dat gespecialiseerde hersteltechnieken worden ingezet</w:t>
      </w:r>
      <w:r w:rsidR="00C40623">
        <w:t xml:space="preserve">. </w:t>
      </w:r>
    </w:p>
    <w:p w14:paraId="0FEA6682" w14:textId="01D73968" w:rsidR="000B5681" w:rsidRDefault="00C874F1" w:rsidP="00C874F1">
      <w:pPr>
        <w:pStyle w:val="Lijstalinea"/>
        <w:numPr>
          <w:ilvl w:val="0"/>
          <w:numId w:val="11"/>
        </w:numPr>
      </w:pPr>
      <w:r>
        <w:t xml:space="preserve">Wanneer een </w:t>
      </w:r>
      <w:r w:rsidR="00C40623">
        <w:t>passende</w:t>
      </w:r>
      <w:r>
        <w:t xml:space="preserve"> en praktisch uitvoerbare vernietigingsmaatregel gewenst is.</w:t>
      </w:r>
      <w:r w:rsidR="00C40623">
        <w:t xml:space="preserve"> </w:t>
      </w:r>
    </w:p>
    <w:p w14:paraId="75834FA6" w14:textId="5D42B8A2" w:rsidR="000B5681" w:rsidRPr="008B2878" w:rsidRDefault="000B5681" w:rsidP="00B7650D">
      <w:r w:rsidRPr="00584B86">
        <w:rPr>
          <w:i/>
          <w:iCs/>
        </w:rPr>
        <w:lastRenderedPageBreak/>
        <w:t>Voorbeeld</w:t>
      </w:r>
      <w:r w:rsidR="00C874F1">
        <w:br/>
      </w:r>
      <w:r w:rsidR="00C874F1" w:rsidRPr="00C874F1">
        <w:t>Een oud document op een harde schijf wordt verwijderd en de betreffende opslaglocatie wordt één keer overschreven. De gegevens zijn daarna niet meer eenvoudig terug te halen met standaard herstelsoftware.</w:t>
      </w:r>
    </w:p>
    <w:p w14:paraId="74A02EAA" w14:textId="60B102B9" w:rsidR="000B5681" w:rsidRDefault="000B5681" w:rsidP="00B7650D">
      <w:r w:rsidRPr="000B5681">
        <w:rPr>
          <w:b/>
          <w:bCs/>
        </w:rPr>
        <w:t>Meervoudig overschrijven</w:t>
      </w:r>
      <w:r w:rsidR="008B2878">
        <w:br/>
      </w:r>
      <w:r w:rsidR="00E02808" w:rsidRPr="00E02808">
        <w:t>Bij meervoudig overschrijven wordt dezelfde opslaglocatie meerdere keren overschreven met verschillende patronen. Hierdoor wordt het risico op herstel verder verkleind.</w:t>
      </w:r>
    </w:p>
    <w:p w14:paraId="434A7104" w14:textId="734C9D87" w:rsidR="00584B86" w:rsidRPr="00584B86" w:rsidRDefault="00584B86" w:rsidP="00B7650D">
      <w:pPr>
        <w:rPr>
          <w:i/>
          <w:iCs/>
        </w:rPr>
      </w:pPr>
      <w:r w:rsidRPr="00584B86">
        <w:rPr>
          <w:i/>
          <w:iCs/>
        </w:rPr>
        <w:t>Wanneer toepassen?</w:t>
      </w:r>
    </w:p>
    <w:p w14:paraId="25F082AC" w14:textId="77777777" w:rsidR="00584B86" w:rsidRDefault="00584B86" w:rsidP="00584B86">
      <w:pPr>
        <w:pStyle w:val="Lijstalinea"/>
        <w:numPr>
          <w:ilvl w:val="0"/>
          <w:numId w:val="12"/>
        </w:numPr>
      </w:pPr>
      <w:r>
        <w:t>Wanneer de informatie vertrouwelijk of gevoelig is, bijvoorbeeld persoonsgegevens of bedrijfsvertrouwelijke informatie.</w:t>
      </w:r>
    </w:p>
    <w:p w14:paraId="16D1CD70" w14:textId="77777777" w:rsidR="00584B86" w:rsidRDefault="00584B86" w:rsidP="00584B86">
      <w:pPr>
        <w:pStyle w:val="Lijstalinea"/>
        <w:numPr>
          <w:ilvl w:val="0"/>
          <w:numId w:val="12"/>
        </w:numPr>
      </w:pPr>
      <w:r>
        <w:t>Wanneer er een verhoogd risico bestaat dat iemand probeert de gegevens te herstellen.</w:t>
      </w:r>
    </w:p>
    <w:p w14:paraId="1B43815E" w14:textId="09C30A12" w:rsidR="00584B86" w:rsidRPr="008B2878" w:rsidRDefault="00584B86" w:rsidP="00584B86">
      <w:pPr>
        <w:pStyle w:val="Lijstalinea"/>
        <w:numPr>
          <w:ilvl w:val="0"/>
          <w:numId w:val="12"/>
        </w:numPr>
      </w:pPr>
      <w:r>
        <w:t>Wanneer binnen de organisatie of op basis van beleid hogere eisen worden gesteld aan de vernietiging van gegevensdragers.</w:t>
      </w:r>
    </w:p>
    <w:p w14:paraId="4433AAAC" w14:textId="05DD544F" w:rsidR="008B2878" w:rsidRDefault="00E02808" w:rsidP="00B7650D">
      <w:r w:rsidRPr="00584B86">
        <w:rPr>
          <w:i/>
          <w:iCs/>
        </w:rPr>
        <w:t>Voorbeeld</w:t>
      </w:r>
      <w:r>
        <w:br/>
      </w:r>
      <w:r w:rsidR="00EA3471">
        <w:t xml:space="preserve">Een oud digitaal </w:t>
      </w:r>
      <w:r w:rsidR="000B5681" w:rsidRPr="008B2878">
        <w:t>dossier met persoonsgegevens wordt drie keer overschreven, telkens met andere patronen. Hierdoor is het extreem moeilijk voor iemand om de originele informatie te reconstrueren, zelfs met geavanceerde technieken.</w:t>
      </w:r>
    </w:p>
    <w:p w14:paraId="34233487" w14:textId="734C3028" w:rsidR="001256BF" w:rsidRDefault="001256BF" w:rsidP="004D52EC">
      <w:pPr>
        <w:pStyle w:val="Kop3"/>
      </w:pPr>
      <w:r>
        <w:t>Vernietigen</w:t>
      </w:r>
      <w:r w:rsidRPr="00F92BD9">
        <w:t xml:space="preserve"> met behoud van metadata</w:t>
      </w:r>
      <w:r>
        <w:t xml:space="preserve"> (</w:t>
      </w:r>
      <w:proofErr w:type="spellStart"/>
      <w:r>
        <w:t>tombstone</w:t>
      </w:r>
      <w:proofErr w:type="spellEnd"/>
      <w:r>
        <w:t>)</w:t>
      </w:r>
    </w:p>
    <w:p w14:paraId="29060B5F" w14:textId="4F3B0E1F" w:rsidR="0090316A" w:rsidRDefault="0090316A" w:rsidP="00B7650D">
      <w:r w:rsidRPr="0090316A">
        <w:t>Hoewel metagegevens onlosmakelijk aan informatieobjecten verbonden zijn, kan het nodig zijn om bepaalde metagegevens te behouden. Terwijl het informatieobject zelf vernietigd wordt. Bijvoorbeeld om de vernietiging vast te leggen, of voor het maken van een zogeheten ‘</w:t>
      </w:r>
      <w:proofErr w:type="spellStart"/>
      <w:r w:rsidRPr="0090316A">
        <w:t>tombstone</w:t>
      </w:r>
      <w:proofErr w:type="spellEnd"/>
      <w:r w:rsidRPr="0090316A">
        <w:t>’. Dat is een ‘grafschrift’ waarin de vernietiging vermeld staat. En wordt weergegeven wanneer iemand een link naar het betreffende informatieobject gebruikt.</w:t>
      </w:r>
    </w:p>
    <w:p w14:paraId="5FA36BF6" w14:textId="6DC3867B" w:rsidR="0090316A" w:rsidRPr="00B7650D" w:rsidRDefault="0090316A" w:rsidP="00B7650D">
      <w:proofErr w:type="spellStart"/>
      <w:r w:rsidRPr="0090316A">
        <w:t>Tombstones</w:t>
      </w:r>
      <w:proofErr w:type="spellEnd"/>
      <w:r w:rsidRPr="0090316A">
        <w:t xml:space="preserve"> zijn ook nuttig wanneer andere records of </w:t>
      </w:r>
      <w:r w:rsidR="009555F1">
        <w:t>informatie</w:t>
      </w:r>
      <w:r w:rsidRPr="0090316A">
        <w:t xml:space="preserve">systemen nog naar het object verwijzen, omdat ze voorkomen dat links of relaties breken. Ze laten zien dat het object heeft bestaan en vernietigd is, zonder dat de inhoud zelf beschikbaar is. In grote systemen of bij automatische vernietiging dragen </w:t>
      </w:r>
      <w:proofErr w:type="spellStart"/>
      <w:r w:rsidRPr="0090316A">
        <w:t>tombstones</w:t>
      </w:r>
      <w:proofErr w:type="spellEnd"/>
      <w:r w:rsidRPr="0090316A">
        <w:t xml:space="preserve"> bij aan transparantie. Daarnaast kunnen ze worden toegepast voor juridische of organisatorische bewijslast, bijvoorbeeld bij overheidsinformatie onder de Archiefwet of privacygevoelige data onder de AVG, waarbij moet worden aangetoond dat informatie correct is verwijderd.</w:t>
      </w:r>
    </w:p>
    <w:p w14:paraId="68A0C777" w14:textId="0C7BC6E6" w:rsidR="001A0E8A" w:rsidRDefault="001A0E8A" w:rsidP="00531E45"/>
    <w:sectPr w:rsidR="001A0E8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55DC" w14:textId="77777777" w:rsidR="009A5411" w:rsidRDefault="009A5411" w:rsidP="00531E45">
      <w:pPr>
        <w:spacing w:after="0" w:line="240" w:lineRule="auto"/>
      </w:pPr>
      <w:r>
        <w:separator/>
      </w:r>
    </w:p>
  </w:endnote>
  <w:endnote w:type="continuationSeparator" w:id="0">
    <w:p w14:paraId="17240122" w14:textId="77777777" w:rsidR="009A5411" w:rsidRDefault="009A5411" w:rsidP="0053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9B96" w14:textId="66519B34" w:rsidR="00EA0EE7" w:rsidRDefault="00EA0EE7">
    <w:pPr>
      <w:pStyle w:val="Voettekst"/>
    </w:pPr>
    <w:r>
      <w:t>Concept redactievergadering 01-06-2026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4E79" w14:textId="77777777" w:rsidR="009A5411" w:rsidRDefault="009A5411" w:rsidP="00531E45">
      <w:pPr>
        <w:spacing w:after="0" w:line="240" w:lineRule="auto"/>
      </w:pPr>
      <w:r>
        <w:separator/>
      </w:r>
    </w:p>
  </w:footnote>
  <w:footnote w:type="continuationSeparator" w:id="0">
    <w:p w14:paraId="7BEA515A" w14:textId="77777777" w:rsidR="009A5411" w:rsidRDefault="009A5411" w:rsidP="00531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660332"/>
      <w:docPartObj>
        <w:docPartGallery w:val="Watermarks"/>
        <w:docPartUnique/>
      </w:docPartObj>
    </w:sdtPr>
    <w:sdtEndPr/>
    <w:sdtContent>
      <w:p w14:paraId="4BCA3B8C" w14:textId="706AED2E" w:rsidR="00EA0EE7" w:rsidRDefault="009A5411">
        <w:pPr>
          <w:pStyle w:val="Koptekst"/>
        </w:pPr>
        <w:r>
          <w:pict w14:anchorId="3E5A6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57F"/>
    <w:multiLevelType w:val="hybridMultilevel"/>
    <w:tmpl w:val="EE305DBE"/>
    <w:lvl w:ilvl="0" w:tplc="C4380D7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C4759A"/>
    <w:multiLevelType w:val="hybridMultilevel"/>
    <w:tmpl w:val="BB5AFA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4F54A4"/>
    <w:multiLevelType w:val="multilevel"/>
    <w:tmpl w:val="A42227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6752F58"/>
    <w:multiLevelType w:val="hybridMultilevel"/>
    <w:tmpl w:val="FD9C05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F50DB3"/>
    <w:multiLevelType w:val="hybridMultilevel"/>
    <w:tmpl w:val="67709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8A62C3"/>
    <w:multiLevelType w:val="hybridMultilevel"/>
    <w:tmpl w:val="2138A924"/>
    <w:lvl w:ilvl="0" w:tplc="1F4AD8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5C42E5"/>
    <w:multiLevelType w:val="hybridMultilevel"/>
    <w:tmpl w:val="149C27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EB019AB"/>
    <w:multiLevelType w:val="hybridMultilevel"/>
    <w:tmpl w:val="E4146E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A34468"/>
    <w:multiLevelType w:val="hybridMultilevel"/>
    <w:tmpl w:val="1C600C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7053696">
    <w:abstractNumId w:val="0"/>
  </w:num>
  <w:num w:numId="2" w16cid:durableId="867647591">
    <w:abstractNumId w:val="2"/>
    <w:lvlOverride w:ilvl="0">
      <w:lvl w:ilvl="0">
        <w:numFmt w:val="bullet"/>
        <w:lvlText w:val=""/>
        <w:lvlJc w:val="left"/>
        <w:pPr>
          <w:tabs>
            <w:tab w:val="num" w:pos="720"/>
          </w:tabs>
          <w:ind w:left="720" w:hanging="360"/>
        </w:pPr>
        <w:rPr>
          <w:rFonts w:ascii="Symbol" w:hAnsi="Symbol" w:hint="default"/>
          <w:sz w:val="20"/>
        </w:rPr>
      </w:lvl>
    </w:lvlOverride>
  </w:num>
  <w:num w:numId="3" w16cid:durableId="1464690558">
    <w:abstractNumId w:val="2"/>
    <w:lvlOverride w:ilvl="0">
      <w:lvl w:ilvl="0">
        <w:numFmt w:val="bullet"/>
        <w:lvlText w:val=""/>
        <w:lvlJc w:val="left"/>
        <w:pPr>
          <w:tabs>
            <w:tab w:val="num" w:pos="720"/>
          </w:tabs>
          <w:ind w:left="720" w:hanging="360"/>
        </w:pPr>
        <w:rPr>
          <w:rFonts w:ascii="Symbol" w:hAnsi="Symbol" w:hint="default"/>
          <w:sz w:val="20"/>
        </w:rPr>
      </w:lvl>
    </w:lvlOverride>
  </w:num>
  <w:num w:numId="4" w16cid:durableId="1634478970">
    <w:abstractNumId w:val="2"/>
    <w:lvlOverride w:ilvl="0">
      <w:lvl w:ilvl="0">
        <w:numFmt w:val="bullet"/>
        <w:lvlText w:val=""/>
        <w:lvlJc w:val="left"/>
        <w:pPr>
          <w:tabs>
            <w:tab w:val="num" w:pos="720"/>
          </w:tabs>
          <w:ind w:left="720" w:hanging="360"/>
        </w:pPr>
        <w:rPr>
          <w:rFonts w:ascii="Symbol" w:hAnsi="Symbol" w:hint="default"/>
          <w:sz w:val="20"/>
        </w:rPr>
      </w:lvl>
    </w:lvlOverride>
  </w:num>
  <w:num w:numId="5" w16cid:durableId="646126137">
    <w:abstractNumId w:val="2"/>
    <w:lvlOverride w:ilvl="0">
      <w:lvl w:ilvl="0">
        <w:numFmt w:val="bullet"/>
        <w:lvlText w:val=""/>
        <w:lvlJc w:val="left"/>
        <w:pPr>
          <w:tabs>
            <w:tab w:val="num" w:pos="720"/>
          </w:tabs>
          <w:ind w:left="720" w:hanging="360"/>
        </w:pPr>
        <w:rPr>
          <w:rFonts w:ascii="Symbol" w:hAnsi="Symbol" w:hint="default"/>
          <w:sz w:val="20"/>
        </w:rPr>
      </w:lvl>
    </w:lvlOverride>
  </w:num>
  <w:num w:numId="6" w16cid:durableId="199632973">
    <w:abstractNumId w:val="6"/>
  </w:num>
  <w:num w:numId="7" w16cid:durableId="1717201353">
    <w:abstractNumId w:val="3"/>
  </w:num>
  <w:num w:numId="8" w16cid:durableId="1042633335">
    <w:abstractNumId w:val="8"/>
  </w:num>
  <w:num w:numId="9" w16cid:durableId="1408385957">
    <w:abstractNumId w:val="1"/>
  </w:num>
  <w:num w:numId="10" w16cid:durableId="1400980601">
    <w:abstractNumId w:val="5"/>
  </w:num>
  <w:num w:numId="11" w16cid:durableId="92746410">
    <w:abstractNumId w:val="7"/>
  </w:num>
  <w:num w:numId="12" w16cid:durableId="2003922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45"/>
    <w:rsid w:val="00001E5E"/>
    <w:rsid w:val="000108AD"/>
    <w:rsid w:val="00010A4C"/>
    <w:rsid w:val="00030B17"/>
    <w:rsid w:val="00034F52"/>
    <w:rsid w:val="00042208"/>
    <w:rsid w:val="000474AD"/>
    <w:rsid w:val="00050218"/>
    <w:rsid w:val="000655C4"/>
    <w:rsid w:val="000656C9"/>
    <w:rsid w:val="00075EED"/>
    <w:rsid w:val="000769A9"/>
    <w:rsid w:val="0008725E"/>
    <w:rsid w:val="00093CBF"/>
    <w:rsid w:val="000B5681"/>
    <w:rsid w:val="000D272E"/>
    <w:rsid w:val="000D3038"/>
    <w:rsid w:val="00116B57"/>
    <w:rsid w:val="0012103A"/>
    <w:rsid w:val="001256BF"/>
    <w:rsid w:val="00136E44"/>
    <w:rsid w:val="00142AE3"/>
    <w:rsid w:val="001841FC"/>
    <w:rsid w:val="001923F5"/>
    <w:rsid w:val="00196D4C"/>
    <w:rsid w:val="001A0E8A"/>
    <w:rsid w:val="001C5DCB"/>
    <w:rsid w:val="001C7D06"/>
    <w:rsid w:val="001D4BC3"/>
    <w:rsid w:val="001E6019"/>
    <w:rsid w:val="001E7BCE"/>
    <w:rsid w:val="00203CB2"/>
    <w:rsid w:val="00206DB5"/>
    <w:rsid w:val="00210C1A"/>
    <w:rsid w:val="00217E96"/>
    <w:rsid w:val="00235620"/>
    <w:rsid w:val="00246D89"/>
    <w:rsid w:val="00254F6E"/>
    <w:rsid w:val="00261820"/>
    <w:rsid w:val="0028453E"/>
    <w:rsid w:val="002856D8"/>
    <w:rsid w:val="00291657"/>
    <w:rsid w:val="002A7039"/>
    <w:rsid w:val="002C53BF"/>
    <w:rsid w:val="002D4574"/>
    <w:rsid w:val="002E073B"/>
    <w:rsid w:val="002E11F8"/>
    <w:rsid w:val="002E362B"/>
    <w:rsid w:val="002E5DD7"/>
    <w:rsid w:val="002F069C"/>
    <w:rsid w:val="002F24BF"/>
    <w:rsid w:val="00313255"/>
    <w:rsid w:val="003248C4"/>
    <w:rsid w:val="00330381"/>
    <w:rsid w:val="00355E90"/>
    <w:rsid w:val="0036215D"/>
    <w:rsid w:val="00382892"/>
    <w:rsid w:val="003A644E"/>
    <w:rsid w:val="003A72B2"/>
    <w:rsid w:val="003F1AFD"/>
    <w:rsid w:val="0040414A"/>
    <w:rsid w:val="00415FEC"/>
    <w:rsid w:val="00421313"/>
    <w:rsid w:val="00425A3D"/>
    <w:rsid w:val="00431018"/>
    <w:rsid w:val="0049216F"/>
    <w:rsid w:val="004A15A6"/>
    <w:rsid w:val="004A573A"/>
    <w:rsid w:val="004C5219"/>
    <w:rsid w:val="004C75BE"/>
    <w:rsid w:val="004D52EC"/>
    <w:rsid w:val="0050025C"/>
    <w:rsid w:val="005134D5"/>
    <w:rsid w:val="00531071"/>
    <w:rsid w:val="005310A4"/>
    <w:rsid w:val="00531E45"/>
    <w:rsid w:val="005460A7"/>
    <w:rsid w:val="0055346F"/>
    <w:rsid w:val="005652CA"/>
    <w:rsid w:val="00577049"/>
    <w:rsid w:val="00584232"/>
    <w:rsid w:val="00584B86"/>
    <w:rsid w:val="00596B5A"/>
    <w:rsid w:val="005A3354"/>
    <w:rsid w:val="005C48A7"/>
    <w:rsid w:val="005D1FEF"/>
    <w:rsid w:val="005F130C"/>
    <w:rsid w:val="006008EE"/>
    <w:rsid w:val="006058F4"/>
    <w:rsid w:val="0061354F"/>
    <w:rsid w:val="00626CCF"/>
    <w:rsid w:val="00647CD5"/>
    <w:rsid w:val="006736A0"/>
    <w:rsid w:val="00694EEC"/>
    <w:rsid w:val="00696BCD"/>
    <w:rsid w:val="006A0359"/>
    <w:rsid w:val="006A5CBC"/>
    <w:rsid w:val="006A65B9"/>
    <w:rsid w:val="006F298D"/>
    <w:rsid w:val="006F732A"/>
    <w:rsid w:val="00704A05"/>
    <w:rsid w:val="007074EA"/>
    <w:rsid w:val="00720192"/>
    <w:rsid w:val="00726331"/>
    <w:rsid w:val="00737020"/>
    <w:rsid w:val="00756847"/>
    <w:rsid w:val="00766A5A"/>
    <w:rsid w:val="00770B68"/>
    <w:rsid w:val="00794716"/>
    <w:rsid w:val="007C13B8"/>
    <w:rsid w:val="007C1F95"/>
    <w:rsid w:val="007D0228"/>
    <w:rsid w:val="007F4C37"/>
    <w:rsid w:val="00816C25"/>
    <w:rsid w:val="00820DDA"/>
    <w:rsid w:val="00823D27"/>
    <w:rsid w:val="00831C03"/>
    <w:rsid w:val="008463A7"/>
    <w:rsid w:val="008513CD"/>
    <w:rsid w:val="00876A53"/>
    <w:rsid w:val="00891BF2"/>
    <w:rsid w:val="008A43C6"/>
    <w:rsid w:val="008A671A"/>
    <w:rsid w:val="008A6D9C"/>
    <w:rsid w:val="008B2878"/>
    <w:rsid w:val="008E4613"/>
    <w:rsid w:val="0090316A"/>
    <w:rsid w:val="00904F07"/>
    <w:rsid w:val="00934543"/>
    <w:rsid w:val="00955329"/>
    <w:rsid w:val="009555F1"/>
    <w:rsid w:val="00966DD3"/>
    <w:rsid w:val="00984CA7"/>
    <w:rsid w:val="009A5411"/>
    <w:rsid w:val="009A5CD1"/>
    <w:rsid w:val="009B1DF5"/>
    <w:rsid w:val="009C1DD4"/>
    <w:rsid w:val="009E68DC"/>
    <w:rsid w:val="009E70C6"/>
    <w:rsid w:val="00A10D24"/>
    <w:rsid w:val="00A2086D"/>
    <w:rsid w:val="00A374A7"/>
    <w:rsid w:val="00A77EC4"/>
    <w:rsid w:val="00AA5E35"/>
    <w:rsid w:val="00AB18A3"/>
    <w:rsid w:val="00AC4582"/>
    <w:rsid w:val="00AD03C0"/>
    <w:rsid w:val="00AF4B2B"/>
    <w:rsid w:val="00B2768D"/>
    <w:rsid w:val="00B41E2E"/>
    <w:rsid w:val="00B53CE0"/>
    <w:rsid w:val="00B6666D"/>
    <w:rsid w:val="00B70DB0"/>
    <w:rsid w:val="00B7650D"/>
    <w:rsid w:val="00B95C49"/>
    <w:rsid w:val="00BA2C81"/>
    <w:rsid w:val="00BC4941"/>
    <w:rsid w:val="00BD5355"/>
    <w:rsid w:val="00BF0146"/>
    <w:rsid w:val="00C069B6"/>
    <w:rsid w:val="00C07F0E"/>
    <w:rsid w:val="00C159CE"/>
    <w:rsid w:val="00C17A2F"/>
    <w:rsid w:val="00C23B70"/>
    <w:rsid w:val="00C40623"/>
    <w:rsid w:val="00C45A8E"/>
    <w:rsid w:val="00C74249"/>
    <w:rsid w:val="00C874F1"/>
    <w:rsid w:val="00C94105"/>
    <w:rsid w:val="00CA0F25"/>
    <w:rsid w:val="00CB0648"/>
    <w:rsid w:val="00CD18E6"/>
    <w:rsid w:val="00CE547E"/>
    <w:rsid w:val="00CF6FD4"/>
    <w:rsid w:val="00D1281A"/>
    <w:rsid w:val="00D568F2"/>
    <w:rsid w:val="00D56CEA"/>
    <w:rsid w:val="00D92469"/>
    <w:rsid w:val="00DA2410"/>
    <w:rsid w:val="00DA438B"/>
    <w:rsid w:val="00DB5D0C"/>
    <w:rsid w:val="00DB779C"/>
    <w:rsid w:val="00DE1A08"/>
    <w:rsid w:val="00DF5D7A"/>
    <w:rsid w:val="00E02808"/>
    <w:rsid w:val="00E12EF1"/>
    <w:rsid w:val="00E6203F"/>
    <w:rsid w:val="00E675B7"/>
    <w:rsid w:val="00E67D78"/>
    <w:rsid w:val="00E75E76"/>
    <w:rsid w:val="00E814CD"/>
    <w:rsid w:val="00E94913"/>
    <w:rsid w:val="00EA0EE7"/>
    <w:rsid w:val="00EA3471"/>
    <w:rsid w:val="00EA7262"/>
    <w:rsid w:val="00EC1B7C"/>
    <w:rsid w:val="00EC3FF1"/>
    <w:rsid w:val="00ED0590"/>
    <w:rsid w:val="00ED491E"/>
    <w:rsid w:val="00EE4860"/>
    <w:rsid w:val="00EF31F3"/>
    <w:rsid w:val="00EF3CC4"/>
    <w:rsid w:val="00EF5890"/>
    <w:rsid w:val="00F04402"/>
    <w:rsid w:val="00F20A11"/>
    <w:rsid w:val="00F24EFD"/>
    <w:rsid w:val="00F333EA"/>
    <w:rsid w:val="00F556A0"/>
    <w:rsid w:val="00F9201A"/>
    <w:rsid w:val="00FB61CB"/>
    <w:rsid w:val="00FC692E"/>
    <w:rsid w:val="00FE01BC"/>
    <w:rsid w:val="00FE128F"/>
    <w:rsid w:val="00FE76C4"/>
    <w:rsid w:val="00FF52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3B1E4"/>
  <w15:chartTrackingRefBased/>
  <w15:docId w15:val="{06EEC477-CDBC-4099-B906-F3B75E57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1E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531E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531E45"/>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unhideWhenUsed/>
    <w:qFormat/>
    <w:rsid w:val="00531E45"/>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531E45"/>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531E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1E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1E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1E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1E4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531E4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531E45"/>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rsid w:val="00531E45"/>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531E45"/>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531E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1E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1E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1E45"/>
    <w:rPr>
      <w:rFonts w:eastAsiaTheme="majorEastAsia" w:cstheme="majorBidi"/>
      <w:color w:val="272727" w:themeColor="text1" w:themeTint="D8"/>
    </w:rPr>
  </w:style>
  <w:style w:type="paragraph" w:styleId="Titel">
    <w:name w:val="Title"/>
    <w:basedOn w:val="Standaard"/>
    <w:next w:val="Standaard"/>
    <w:link w:val="TitelChar"/>
    <w:uiPriority w:val="10"/>
    <w:qFormat/>
    <w:rsid w:val="00531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1E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1E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1E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1E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1E45"/>
    <w:rPr>
      <w:i/>
      <w:iCs/>
      <w:color w:val="404040" w:themeColor="text1" w:themeTint="BF"/>
    </w:rPr>
  </w:style>
  <w:style w:type="paragraph" w:styleId="Lijstalinea">
    <w:name w:val="List Paragraph"/>
    <w:basedOn w:val="Standaard"/>
    <w:uiPriority w:val="34"/>
    <w:qFormat/>
    <w:rsid w:val="00531E45"/>
    <w:pPr>
      <w:ind w:left="720"/>
      <w:contextualSpacing/>
    </w:pPr>
  </w:style>
  <w:style w:type="character" w:styleId="Intensievebenadrukking">
    <w:name w:val="Intense Emphasis"/>
    <w:basedOn w:val="Standaardalinea-lettertype"/>
    <w:uiPriority w:val="21"/>
    <w:qFormat/>
    <w:rsid w:val="00531E45"/>
    <w:rPr>
      <w:i/>
      <w:iCs/>
      <w:color w:val="2E74B5" w:themeColor="accent1" w:themeShade="BF"/>
    </w:rPr>
  </w:style>
  <w:style w:type="paragraph" w:styleId="Duidelijkcitaat">
    <w:name w:val="Intense Quote"/>
    <w:basedOn w:val="Standaard"/>
    <w:next w:val="Standaard"/>
    <w:link w:val="DuidelijkcitaatChar"/>
    <w:uiPriority w:val="30"/>
    <w:qFormat/>
    <w:rsid w:val="00531E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31E45"/>
    <w:rPr>
      <w:i/>
      <w:iCs/>
      <w:color w:val="2E74B5" w:themeColor="accent1" w:themeShade="BF"/>
    </w:rPr>
  </w:style>
  <w:style w:type="character" w:styleId="Intensieveverwijzing">
    <w:name w:val="Intense Reference"/>
    <w:basedOn w:val="Standaardalinea-lettertype"/>
    <w:uiPriority w:val="32"/>
    <w:qFormat/>
    <w:rsid w:val="00531E45"/>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531E45"/>
    <w:rPr>
      <w:sz w:val="16"/>
      <w:szCs w:val="16"/>
    </w:rPr>
  </w:style>
  <w:style w:type="paragraph" w:styleId="Tekstopmerking">
    <w:name w:val="annotation text"/>
    <w:basedOn w:val="Standaard"/>
    <w:link w:val="TekstopmerkingChar"/>
    <w:uiPriority w:val="99"/>
    <w:unhideWhenUsed/>
    <w:rsid w:val="00531E45"/>
    <w:pPr>
      <w:spacing w:after="0" w:line="240" w:lineRule="auto"/>
    </w:pPr>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uiPriority w:val="99"/>
    <w:rsid w:val="00531E45"/>
    <w:rPr>
      <w:rFonts w:ascii="Verdana" w:eastAsia="Times New Roman" w:hAnsi="Verdana" w:cs="Times New Roman"/>
      <w:sz w:val="20"/>
      <w:szCs w:val="20"/>
      <w:lang w:eastAsia="nl-NL"/>
    </w:rPr>
  </w:style>
  <w:style w:type="paragraph" w:styleId="Voetnoottekst">
    <w:name w:val="footnote text"/>
    <w:basedOn w:val="Standaard"/>
    <w:link w:val="VoetnoottekstChar"/>
    <w:uiPriority w:val="99"/>
    <w:semiHidden/>
    <w:unhideWhenUsed/>
    <w:rsid w:val="00531E45"/>
    <w:pPr>
      <w:spacing w:after="0" w:line="240" w:lineRule="auto"/>
    </w:pPr>
    <w:rPr>
      <w:rFonts w:ascii="Verdana" w:eastAsia="Times New Roman" w:hAnsi="Verdana" w:cs="Times New Roman"/>
      <w:sz w:val="20"/>
      <w:szCs w:val="20"/>
      <w:lang w:eastAsia="nl-NL"/>
    </w:rPr>
  </w:style>
  <w:style w:type="character" w:customStyle="1" w:styleId="VoetnoottekstChar">
    <w:name w:val="Voetnoottekst Char"/>
    <w:basedOn w:val="Standaardalinea-lettertype"/>
    <w:link w:val="Voetnoottekst"/>
    <w:uiPriority w:val="99"/>
    <w:semiHidden/>
    <w:rsid w:val="00531E45"/>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531E45"/>
    <w:rPr>
      <w:vertAlign w:val="superscript"/>
    </w:rPr>
  </w:style>
  <w:style w:type="paragraph" w:styleId="Onderwerpvanopmerking">
    <w:name w:val="annotation subject"/>
    <w:basedOn w:val="Tekstopmerking"/>
    <w:next w:val="Tekstopmerking"/>
    <w:link w:val="OnderwerpvanopmerkingChar"/>
    <w:uiPriority w:val="99"/>
    <w:semiHidden/>
    <w:unhideWhenUsed/>
    <w:rsid w:val="00B7650D"/>
    <w:pPr>
      <w:spacing w:after="16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B7650D"/>
    <w:rPr>
      <w:rFonts w:ascii="Verdana" w:eastAsia="Times New Roman" w:hAnsi="Verdana" w:cs="Times New Roman"/>
      <w:b/>
      <w:bCs/>
      <w:sz w:val="20"/>
      <w:szCs w:val="20"/>
      <w:lang w:eastAsia="nl-NL"/>
    </w:rPr>
  </w:style>
  <w:style w:type="character" w:styleId="Hyperlink">
    <w:name w:val="Hyperlink"/>
    <w:basedOn w:val="Standaardalinea-lettertype"/>
    <w:uiPriority w:val="99"/>
    <w:unhideWhenUsed/>
    <w:rsid w:val="000D272E"/>
    <w:rPr>
      <w:color w:val="0563C1" w:themeColor="hyperlink"/>
      <w:u w:val="single"/>
    </w:rPr>
  </w:style>
  <w:style w:type="character" w:styleId="Onopgelostemelding">
    <w:name w:val="Unresolved Mention"/>
    <w:basedOn w:val="Standaardalinea-lettertype"/>
    <w:uiPriority w:val="99"/>
    <w:semiHidden/>
    <w:unhideWhenUsed/>
    <w:rsid w:val="000D272E"/>
    <w:rPr>
      <w:color w:val="605E5C"/>
      <w:shd w:val="clear" w:color="auto" w:fill="E1DFDD"/>
    </w:rPr>
  </w:style>
  <w:style w:type="character" w:styleId="GevolgdeHyperlink">
    <w:name w:val="FollowedHyperlink"/>
    <w:basedOn w:val="Standaardalinea-lettertype"/>
    <w:uiPriority w:val="99"/>
    <w:semiHidden/>
    <w:unhideWhenUsed/>
    <w:rsid w:val="00A77EC4"/>
    <w:rPr>
      <w:color w:val="954F72" w:themeColor="followedHyperlink"/>
      <w:u w:val="single"/>
    </w:rPr>
  </w:style>
  <w:style w:type="paragraph" w:styleId="Revisie">
    <w:name w:val="Revision"/>
    <w:hidden/>
    <w:uiPriority w:val="99"/>
    <w:semiHidden/>
    <w:rsid w:val="002E11F8"/>
    <w:pPr>
      <w:spacing w:after="0" w:line="240" w:lineRule="auto"/>
    </w:pPr>
  </w:style>
  <w:style w:type="paragraph" w:styleId="Koptekst">
    <w:name w:val="header"/>
    <w:basedOn w:val="Standaard"/>
    <w:link w:val="KoptekstChar"/>
    <w:uiPriority w:val="99"/>
    <w:unhideWhenUsed/>
    <w:rsid w:val="00EA0E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0EE7"/>
  </w:style>
  <w:style w:type="paragraph" w:styleId="Voettekst">
    <w:name w:val="footer"/>
    <w:basedOn w:val="Standaard"/>
    <w:link w:val="VoettekstChar"/>
    <w:uiPriority w:val="99"/>
    <w:unhideWhenUsed/>
    <w:rsid w:val="00EA0E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0EE7"/>
  </w:style>
  <w:style w:type="table" w:styleId="Tabelraster">
    <w:name w:val="Table Grid"/>
    <w:basedOn w:val="Standaardtabel"/>
    <w:uiPriority w:val="39"/>
    <w:rsid w:val="004A1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aalarchief.nl/archiveren/kennisbank/module-5-duto-proces-vernietig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alarchief.nl/archiveren/kennisbank/implementatiepatronen-overwegingen-generiek-de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tionaalarchief.nl/archiveren/kennisbank/overheidsinformatiemodel" TargetMode="External"/><Relationship Id="rId4" Type="http://schemas.openxmlformats.org/officeDocument/2006/relationships/settings" Target="settings.xml"/><Relationship Id="rId9" Type="http://schemas.openxmlformats.org/officeDocument/2006/relationships/hyperlink" Target="https://www.nationaalarchief.nl/archiveren/kennisbank/informatieobject"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EB060-39A4-44D8-9D89-31A7AFC42DDC}">
  <ds:schemaRefs>
    <ds:schemaRef ds:uri="http://schemas.openxmlformats.org/officeDocument/2006/bibliography"/>
  </ds:schemaRefs>
</ds:datastoreItem>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2246</Words>
  <Characters>12354</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 Jasper</dc:creator>
  <cp:keywords/>
  <dc:description/>
  <cp:lastModifiedBy>Smeets, Frank</cp:lastModifiedBy>
  <cp:revision>2</cp:revision>
  <dcterms:created xsi:type="dcterms:W3CDTF">2026-06-30T15:05:00Z</dcterms:created>
  <dcterms:modified xsi:type="dcterms:W3CDTF">2026-06-30T15:05:00Z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64987999</vt:lpwstr>
  </property>
</Properties>
</file>