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16" w:rsidRDefault="002C2781">
      <w:pPr>
        <w:rPr>
          <w:b/>
        </w:rPr>
      </w:pPr>
      <w:r w:rsidRPr="002C2781">
        <w:rPr>
          <w:b/>
        </w:rPr>
        <w:t>DUTO-scan methode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2C2781" w:rsidTr="002D6FDC">
        <w:tc>
          <w:tcPr>
            <w:tcW w:w="9212" w:type="dxa"/>
            <w:gridSpan w:val="2"/>
            <w:shd w:val="clear" w:color="auto" w:fill="B6DDE8" w:themeFill="accent5" w:themeFillTint="66"/>
          </w:tcPr>
          <w:p w:rsidR="002C2781" w:rsidRDefault="002C2781" w:rsidP="002D6FDC">
            <w:pPr>
              <w:jc w:val="center"/>
              <w:rPr>
                <w:b/>
              </w:rPr>
            </w:pPr>
            <w:r>
              <w:t>Fase 0</w:t>
            </w:r>
          </w:p>
        </w:tc>
      </w:tr>
      <w:tr w:rsidR="002C2781" w:rsidTr="002C2781">
        <w:tc>
          <w:tcPr>
            <w:tcW w:w="2376" w:type="dxa"/>
          </w:tcPr>
          <w:p w:rsidR="002C2781" w:rsidRPr="002C2781" w:rsidRDefault="002C2781">
            <w:r w:rsidRPr="002C2781">
              <w:t>Doel</w:t>
            </w:r>
          </w:p>
        </w:tc>
        <w:tc>
          <w:tcPr>
            <w:tcW w:w="6836" w:type="dxa"/>
          </w:tcPr>
          <w:p w:rsidR="002C2781" w:rsidRPr="002C2781" w:rsidRDefault="002C2781">
            <w:r w:rsidRPr="004232D3">
              <w:rPr>
                <w:rFonts w:ascii="Verdana" w:hAnsi="Verdana"/>
                <w:sz w:val="18"/>
                <w:szCs w:val="20"/>
              </w:rPr>
              <w:t>Acquisitie</w:t>
            </w:r>
            <w:r>
              <w:rPr>
                <w:rFonts w:ascii="Verdana" w:hAnsi="Verdana"/>
                <w:sz w:val="18"/>
                <w:szCs w:val="20"/>
              </w:rPr>
              <w:t xml:space="preserve"> van DUTO-scan</w:t>
            </w:r>
          </w:p>
        </w:tc>
      </w:tr>
      <w:tr w:rsidR="002C2781" w:rsidTr="002C2781">
        <w:tc>
          <w:tcPr>
            <w:tcW w:w="2376" w:type="dxa"/>
          </w:tcPr>
          <w:p w:rsidR="002C2781" w:rsidRPr="002C2781" w:rsidRDefault="002C2781">
            <w:r>
              <w:t>Methode</w:t>
            </w:r>
          </w:p>
        </w:tc>
        <w:tc>
          <w:tcPr>
            <w:tcW w:w="6836" w:type="dxa"/>
          </w:tcPr>
          <w:p w:rsidR="002C2781" w:rsidRDefault="00F21698">
            <w:r>
              <w:t>Voordat een DUTO-scan gestart wordt moet aan een aantal criteria voldaan zijn:</w:t>
            </w:r>
          </w:p>
          <w:p w:rsidR="00F21698" w:rsidRDefault="00F21698" w:rsidP="00F21698">
            <w:pPr>
              <w:pStyle w:val="Lijstalinea"/>
              <w:numPr>
                <w:ilvl w:val="0"/>
                <w:numId w:val="1"/>
              </w:numPr>
            </w:pPr>
            <w:r>
              <w:t xml:space="preserve">Werk-of beleidsproces dat kritiek is voor de organisatie en waar </w:t>
            </w:r>
            <w:bookmarkStart w:id="0" w:name="_GoBack"/>
            <w:bookmarkEnd w:id="0"/>
            <w:r>
              <w:t>een verandering plaatsvindt (zodat ruimte is voor aanbevelingen)</w:t>
            </w:r>
          </w:p>
          <w:p w:rsidR="00F21698" w:rsidRDefault="00F21698" w:rsidP="00F21698">
            <w:pPr>
              <w:pStyle w:val="Lijstalinea"/>
              <w:numPr>
                <w:ilvl w:val="0"/>
                <w:numId w:val="1"/>
              </w:numPr>
            </w:pPr>
            <w:r>
              <w:t>Commitment van twee opdrachtgevers die zich opstellen als stakeholder en sponsor in de verschillende fasen van de scan: Proceseigenaar of verantwoordelijke voor het belichte werk-of beleidsproces, en CIO.</w:t>
            </w:r>
          </w:p>
          <w:p w:rsidR="00F21698" w:rsidRPr="00F21698" w:rsidRDefault="00F21698" w:rsidP="00F21698">
            <w:pPr>
              <w:pStyle w:val="Lijstalinea"/>
              <w:numPr>
                <w:ilvl w:val="0"/>
                <w:numId w:val="1"/>
              </w:numPr>
            </w:pPr>
            <w:r>
              <w:t xml:space="preserve">Contactpersoon vanuit organisatie die invulling kan geven aan de </w:t>
            </w:r>
            <w:proofErr w:type="spellStart"/>
            <w:r>
              <w:t>gevraage</w:t>
            </w:r>
            <w:proofErr w:type="spellEnd"/>
            <w:r>
              <w:t xml:space="preserve"> rollen in de scan en vanuit de kant van de organisatie de coördinatie doet.</w:t>
            </w:r>
          </w:p>
          <w:p w:rsidR="00F21698" w:rsidRPr="00F21698" w:rsidRDefault="00F21698" w:rsidP="00F21698">
            <w:pPr>
              <w:pStyle w:val="Lijstalinea"/>
              <w:numPr>
                <w:ilvl w:val="0"/>
                <w:numId w:val="1"/>
              </w:numPr>
            </w:pPr>
            <w:r w:rsidRPr="00F21698">
              <w:t>Bereidheid (vanuit opdrachtgever/CIO) om mensen vrij te maken voor deelname aan de scan. Zowel fase 1, 2, als 3*</w:t>
            </w:r>
          </w:p>
          <w:p w:rsidR="00F21698" w:rsidRPr="00F21698" w:rsidRDefault="00F21698" w:rsidP="00F21698">
            <w:pPr>
              <w:pStyle w:val="Lijstalinea"/>
              <w:numPr>
                <w:ilvl w:val="0"/>
                <w:numId w:val="1"/>
              </w:numPr>
            </w:pPr>
            <w:r w:rsidRPr="00F21698">
              <w:t xml:space="preserve">Begrip voor het feit dat DUTO in permanent </w:t>
            </w:r>
            <w:proofErr w:type="spellStart"/>
            <w:r w:rsidRPr="00F21698">
              <w:t>beta</w:t>
            </w:r>
            <w:proofErr w:type="spellEnd"/>
            <w:r w:rsidRPr="00F21698">
              <w:t xml:space="preserve"> is en er voor ons ook een leereffect aan zit</w:t>
            </w:r>
          </w:p>
          <w:p w:rsidR="00F21698" w:rsidRPr="002C2781" w:rsidRDefault="00F21698"/>
        </w:tc>
      </w:tr>
      <w:tr w:rsidR="002C2781" w:rsidTr="002D6FDC">
        <w:tc>
          <w:tcPr>
            <w:tcW w:w="9212" w:type="dxa"/>
            <w:gridSpan w:val="2"/>
            <w:shd w:val="clear" w:color="auto" w:fill="B6DDE8" w:themeFill="accent5" w:themeFillTint="66"/>
          </w:tcPr>
          <w:p w:rsidR="002C2781" w:rsidRPr="002C2781" w:rsidRDefault="002C2781">
            <w:r>
              <w:t>Fase 1</w:t>
            </w:r>
          </w:p>
        </w:tc>
      </w:tr>
      <w:tr w:rsidR="002C2781" w:rsidTr="002C2781">
        <w:tc>
          <w:tcPr>
            <w:tcW w:w="2376" w:type="dxa"/>
          </w:tcPr>
          <w:p w:rsidR="002C2781" w:rsidRPr="002C2781" w:rsidRDefault="002C2781">
            <w:r>
              <w:t>Doel</w:t>
            </w:r>
          </w:p>
        </w:tc>
        <w:tc>
          <w:tcPr>
            <w:tcW w:w="6836" w:type="dxa"/>
          </w:tcPr>
          <w:p w:rsidR="002C2781" w:rsidRPr="002C2781" w:rsidRDefault="002C2781">
            <w:r w:rsidRPr="00F32FB6">
              <w:rPr>
                <w:rFonts w:ascii="Verdana" w:hAnsi="Verdana"/>
                <w:sz w:val="18"/>
                <w:szCs w:val="20"/>
              </w:rPr>
              <w:t>Gebruikerservaringen ophalen</w:t>
            </w:r>
          </w:p>
        </w:tc>
      </w:tr>
      <w:tr w:rsidR="002C2781" w:rsidTr="002C2781">
        <w:tc>
          <w:tcPr>
            <w:tcW w:w="2376" w:type="dxa"/>
          </w:tcPr>
          <w:p w:rsidR="002C2781" w:rsidRPr="002C2781" w:rsidRDefault="002C2781">
            <w:r>
              <w:t>Stakeholder &amp; sponsor</w:t>
            </w:r>
          </w:p>
        </w:tc>
        <w:tc>
          <w:tcPr>
            <w:tcW w:w="6836" w:type="dxa"/>
          </w:tcPr>
          <w:p w:rsidR="002C2781" w:rsidRPr="002C2781" w:rsidRDefault="002C2781">
            <w:r w:rsidRPr="00F32FB6">
              <w:rPr>
                <w:rFonts w:ascii="Verdana" w:hAnsi="Verdana"/>
                <w:sz w:val="18"/>
                <w:szCs w:val="20"/>
              </w:rPr>
              <w:t>Proceseigenaar vanuit primair proces</w:t>
            </w:r>
          </w:p>
        </w:tc>
      </w:tr>
      <w:tr w:rsidR="002C2781" w:rsidTr="002C2781">
        <w:tc>
          <w:tcPr>
            <w:tcW w:w="2376" w:type="dxa"/>
          </w:tcPr>
          <w:p w:rsidR="002C2781" w:rsidRPr="002C2781" w:rsidRDefault="002C2781">
            <w:r>
              <w:t>Respondenten</w:t>
            </w:r>
          </w:p>
        </w:tc>
        <w:tc>
          <w:tcPr>
            <w:tcW w:w="6836" w:type="dxa"/>
          </w:tcPr>
          <w:p w:rsidR="002C2781" w:rsidRPr="002C2781" w:rsidRDefault="002C2781">
            <w:r w:rsidRPr="00F32FB6">
              <w:rPr>
                <w:rFonts w:ascii="Verdana" w:hAnsi="Verdana"/>
                <w:sz w:val="18"/>
                <w:szCs w:val="20"/>
              </w:rPr>
              <w:t>Gebruikers, primair en secundair (of vertegenwoordiging)</w:t>
            </w:r>
          </w:p>
        </w:tc>
      </w:tr>
      <w:tr w:rsidR="002C2781" w:rsidTr="002C2781">
        <w:tc>
          <w:tcPr>
            <w:tcW w:w="2376" w:type="dxa"/>
          </w:tcPr>
          <w:p w:rsidR="002C2781" w:rsidRPr="002C2781" w:rsidRDefault="002C2781">
            <w:r>
              <w:t>Methode</w:t>
            </w:r>
          </w:p>
        </w:tc>
        <w:tc>
          <w:tcPr>
            <w:tcW w:w="6836" w:type="dxa"/>
          </w:tcPr>
          <w:p w:rsidR="002C2781" w:rsidRDefault="002C2781" w:rsidP="002C2781">
            <w:pPr>
              <w:ind w:left="2115" w:hanging="2115"/>
              <w:rPr>
                <w:rFonts w:ascii="Verdana" w:hAnsi="Verdana"/>
                <w:sz w:val="18"/>
                <w:szCs w:val="20"/>
              </w:rPr>
            </w:pPr>
            <w:r w:rsidRPr="002C2781">
              <w:rPr>
                <w:rFonts w:ascii="Verdana" w:hAnsi="Verdana"/>
                <w:sz w:val="18"/>
                <w:szCs w:val="20"/>
              </w:rPr>
              <w:t xml:space="preserve">Workshop. </w:t>
            </w:r>
            <w:r w:rsidRPr="00F32FB6">
              <w:rPr>
                <w:rFonts w:ascii="Verdana" w:hAnsi="Verdana"/>
                <w:sz w:val="18"/>
                <w:szCs w:val="20"/>
              </w:rPr>
              <w:t>Op basis van DUTO kwaliteits</w:t>
            </w:r>
            <w:r w:rsidRPr="00F32FB6">
              <w:rPr>
                <w:rFonts w:ascii="Verdana" w:hAnsi="Verdana"/>
                <w:i/>
                <w:iCs/>
                <w:sz w:val="18"/>
                <w:szCs w:val="20"/>
              </w:rPr>
              <w:t xml:space="preserve">criteria </w:t>
            </w:r>
            <w:r>
              <w:rPr>
                <w:rFonts w:ascii="Verdana" w:hAnsi="Verdana"/>
                <w:sz w:val="18"/>
                <w:szCs w:val="20"/>
              </w:rPr>
              <w:t>(vindbaar, beschikbaar,</w:t>
            </w:r>
          </w:p>
          <w:p w:rsidR="002C2781" w:rsidRPr="00F32FB6" w:rsidRDefault="002C2781" w:rsidP="002C2781">
            <w:pPr>
              <w:ind w:left="2115" w:hanging="2115"/>
              <w:rPr>
                <w:rFonts w:ascii="Verdana" w:hAnsi="Verdana"/>
                <w:sz w:val="18"/>
                <w:szCs w:val="20"/>
              </w:rPr>
            </w:pPr>
            <w:proofErr w:type="spellStart"/>
            <w:r w:rsidRPr="00F32FB6">
              <w:rPr>
                <w:rFonts w:ascii="Verdana" w:hAnsi="Verdana"/>
                <w:sz w:val="18"/>
                <w:szCs w:val="20"/>
              </w:rPr>
              <w:t>etc</w:t>
            </w:r>
            <w:proofErr w:type="spellEnd"/>
            <w:r w:rsidRPr="00F32FB6">
              <w:rPr>
                <w:rFonts w:ascii="Verdana" w:hAnsi="Verdana"/>
                <w:sz w:val="18"/>
                <w:szCs w:val="20"/>
              </w:rPr>
              <w:t xml:space="preserve">) en oorzaken &amp; gevolgen van risico’s vaststellen </w:t>
            </w:r>
          </w:p>
          <w:p w:rsidR="002C2781" w:rsidRPr="002C2781" w:rsidRDefault="002C2781" w:rsidP="002C2781">
            <w:r w:rsidRPr="00F32FB6">
              <w:rPr>
                <w:rFonts w:ascii="Verdana" w:hAnsi="Verdana"/>
                <w:sz w:val="18"/>
                <w:szCs w:val="20"/>
              </w:rPr>
              <w:t>wat de meest belangrijke issues zijn rondom de duurzame toegankelijkheid van informatie in het werkproces voor de gebruikers</w:t>
            </w:r>
          </w:p>
        </w:tc>
      </w:tr>
      <w:tr w:rsidR="002C2781" w:rsidTr="002C2781">
        <w:tc>
          <w:tcPr>
            <w:tcW w:w="2376" w:type="dxa"/>
          </w:tcPr>
          <w:p w:rsidR="002C2781" w:rsidRDefault="002C2781">
            <w:r>
              <w:t>Rol onderzoeker</w:t>
            </w:r>
          </w:p>
        </w:tc>
        <w:tc>
          <w:tcPr>
            <w:tcW w:w="6836" w:type="dxa"/>
          </w:tcPr>
          <w:p w:rsidR="002C2781" w:rsidRDefault="002C2781" w:rsidP="002C2781">
            <w:pPr>
              <w:ind w:left="2115" w:hanging="2115"/>
              <w:rPr>
                <w:rFonts w:ascii="Verdana" w:hAnsi="Verdana"/>
                <w:sz w:val="18"/>
                <w:szCs w:val="20"/>
              </w:rPr>
            </w:pPr>
            <w:r w:rsidRPr="00F32FB6">
              <w:rPr>
                <w:rFonts w:ascii="Verdana" w:hAnsi="Verdana"/>
                <w:sz w:val="18"/>
                <w:szCs w:val="20"/>
              </w:rPr>
              <w:t>Goed beeld ophalen van de gebruike</w:t>
            </w:r>
            <w:r>
              <w:rPr>
                <w:rFonts w:ascii="Verdana" w:hAnsi="Verdana"/>
                <w:sz w:val="18"/>
                <w:szCs w:val="20"/>
              </w:rPr>
              <w:t xml:space="preserve">rservaring. Belang van duurzame </w:t>
            </w:r>
          </w:p>
          <w:p w:rsidR="002C2781" w:rsidRDefault="002C2781" w:rsidP="002C2781">
            <w:pPr>
              <w:ind w:left="2115" w:hanging="2115"/>
              <w:rPr>
                <w:rFonts w:ascii="Verdana" w:hAnsi="Verdana"/>
                <w:sz w:val="18"/>
                <w:szCs w:val="20"/>
              </w:rPr>
            </w:pPr>
            <w:r w:rsidRPr="00F32FB6">
              <w:rPr>
                <w:rFonts w:ascii="Verdana" w:hAnsi="Verdana"/>
                <w:sz w:val="18"/>
                <w:szCs w:val="20"/>
              </w:rPr>
              <w:t xml:space="preserve">toegankelijkheid informatie op het netvlies van gebruikers zetten. </w:t>
            </w:r>
          </w:p>
          <w:p w:rsidR="002C2781" w:rsidRDefault="002C2781" w:rsidP="002C2781">
            <w:pPr>
              <w:ind w:left="2115" w:hanging="2115"/>
              <w:rPr>
                <w:rFonts w:ascii="Verdana" w:hAnsi="Verdana"/>
                <w:sz w:val="18"/>
                <w:szCs w:val="20"/>
              </w:rPr>
            </w:pPr>
            <w:r w:rsidRPr="00F32FB6">
              <w:rPr>
                <w:rFonts w:ascii="Verdana" w:hAnsi="Verdana"/>
                <w:sz w:val="18"/>
                <w:szCs w:val="20"/>
              </w:rPr>
              <w:t xml:space="preserve">DUTO-eisen in het achterhoofd houden en daarop doorvragen zodat de </w:t>
            </w:r>
          </w:p>
          <w:p w:rsidR="002C2781" w:rsidRPr="00F32FB6" w:rsidRDefault="002C2781" w:rsidP="002C2781">
            <w:pPr>
              <w:ind w:left="2115" w:hanging="2115"/>
              <w:rPr>
                <w:rFonts w:ascii="Verdana" w:hAnsi="Verdana"/>
                <w:sz w:val="18"/>
                <w:szCs w:val="20"/>
              </w:rPr>
            </w:pPr>
            <w:r w:rsidRPr="00F32FB6">
              <w:rPr>
                <w:rFonts w:ascii="Verdana" w:hAnsi="Verdana"/>
                <w:sz w:val="18"/>
                <w:szCs w:val="20"/>
              </w:rPr>
              <w:t>vertaalslag in fase 2 gemakkelijk gemaakt kan worden.</w:t>
            </w:r>
          </w:p>
          <w:p w:rsidR="002C2781" w:rsidRPr="002C2781" w:rsidRDefault="002C2781"/>
        </w:tc>
      </w:tr>
      <w:tr w:rsidR="002C2781" w:rsidTr="002D6FDC">
        <w:tc>
          <w:tcPr>
            <w:tcW w:w="9212" w:type="dxa"/>
            <w:gridSpan w:val="2"/>
            <w:shd w:val="clear" w:color="auto" w:fill="B6DDE8" w:themeFill="accent5" w:themeFillTint="66"/>
          </w:tcPr>
          <w:p w:rsidR="002C2781" w:rsidRPr="002C2781" w:rsidRDefault="002C2781" w:rsidP="002D6FDC">
            <w:pPr>
              <w:jc w:val="center"/>
            </w:pPr>
            <w:r>
              <w:t>Fase 2</w:t>
            </w:r>
          </w:p>
        </w:tc>
      </w:tr>
      <w:tr w:rsidR="002C2781" w:rsidTr="002C2781">
        <w:tc>
          <w:tcPr>
            <w:tcW w:w="2376" w:type="dxa"/>
          </w:tcPr>
          <w:p w:rsidR="002C2781" w:rsidRDefault="002C2781">
            <w:r>
              <w:t>Doel</w:t>
            </w:r>
          </w:p>
        </w:tc>
        <w:tc>
          <w:tcPr>
            <w:tcW w:w="6836" w:type="dxa"/>
          </w:tcPr>
          <w:p w:rsidR="002C2781" w:rsidRPr="002C2781" w:rsidRDefault="002C2781">
            <w:r w:rsidRPr="00F32FB6">
              <w:rPr>
                <w:rFonts w:ascii="Verdana" w:hAnsi="Verdana"/>
                <w:sz w:val="18"/>
                <w:szCs w:val="20"/>
              </w:rPr>
              <w:t>Vertalen van gebruikerservaringen naar mogelijke verbeterpunten in processen en systemen, architectuur</w:t>
            </w:r>
          </w:p>
        </w:tc>
      </w:tr>
      <w:tr w:rsidR="002C2781" w:rsidTr="002C2781">
        <w:tc>
          <w:tcPr>
            <w:tcW w:w="2376" w:type="dxa"/>
          </w:tcPr>
          <w:p w:rsidR="002C2781" w:rsidRDefault="002C2781">
            <w:r>
              <w:t>Stakeholder &amp; sponsor</w:t>
            </w:r>
          </w:p>
        </w:tc>
        <w:tc>
          <w:tcPr>
            <w:tcW w:w="6836" w:type="dxa"/>
          </w:tcPr>
          <w:p w:rsidR="002C2781" w:rsidRDefault="002C2781" w:rsidP="002C2781">
            <w:pPr>
              <w:ind w:left="2124" w:hanging="2124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CIO of vergelijkbaar. Degene die verantwoordelijk is voor de inrichting</w:t>
            </w:r>
          </w:p>
          <w:p w:rsidR="002C2781" w:rsidRDefault="002C2781" w:rsidP="002C2781">
            <w:pPr>
              <w:ind w:left="2124" w:hanging="2124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van processen en systemen.</w:t>
            </w:r>
          </w:p>
          <w:p w:rsidR="002C2781" w:rsidRPr="002C2781" w:rsidRDefault="002C2781"/>
        </w:tc>
      </w:tr>
      <w:tr w:rsidR="002C2781" w:rsidTr="002C2781">
        <w:tc>
          <w:tcPr>
            <w:tcW w:w="2376" w:type="dxa"/>
          </w:tcPr>
          <w:p w:rsidR="002C2781" w:rsidRDefault="002C2781">
            <w:r>
              <w:t>Respondenten</w:t>
            </w:r>
          </w:p>
        </w:tc>
        <w:tc>
          <w:tcPr>
            <w:tcW w:w="6836" w:type="dxa"/>
          </w:tcPr>
          <w:p w:rsidR="002C2781" w:rsidRPr="002C2781" w:rsidRDefault="002C2781" w:rsidP="002C2781">
            <w:r w:rsidRPr="00F32FB6">
              <w:rPr>
                <w:rFonts w:ascii="Verdana" w:hAnsi="Verdana"/>
                <w:sz w:val="18"/>
                <w:szCs w:val="20"/>
              </w:rPr>
              <w:t xml:space="preserve">Architecten, informatiespecialisten, beveiligers. Degenen in de organisatie die </w:t>
            </w:r>
            <w:r w:rsidRPr="00F32FB6">
              <w:rPr>
                <w:rFonts w:ascii="Verdana" w:hAnsi="Verdana"/>
                <w:i/>
                <w:iCs/>
                <w:sz w:val="18"/>
                <w:szCs w:val="20"/>
              </w:rPr>
              <w:t>vorm geven aan</w:t>
            </w:r>
            <w:r w:rsidRPr="00F32FB6">
              <w:rPr>
                <w:rFonts w:ascii="Verdana" w:hAnsi="Verdana"/>
                <w:sz w:val="18"/>
                <w:szCs w:val="20"/>
              </w:rPr>
              <w:t xml:space="preserve"> de inrichting van processen en systemen</w:t>
            </w:r>
            <w:r>
              <w:rPr>
                <w:rFonts w:ascii="Verdana" w:hAnsi="Verdana"/>
                <w:sz w:val="18"/>
                <w:szCs w:val="20"/>
              </w:rPr>
              <w:br/>
            </w:r>
          </w:p>
        </w:tc>
      </w:tr>
      <w:tr w:rsidR="002C2781" w:rsidTr="002C2781">
        <w:tc>
          <w:tcPr>
            <w:tcW w:w="2376" w:type="dxa"/>
          </w:tcPr>
          <w:p w:rsidR="002C2781" w:rsidRDefault="002C2781">
            <w:r>
              <w:t>Methode</w:t>
            </w:r>
          </w:p>
        </w:tc>
        <w:tc>
          <w:tcPr>
            <w:tcW w:w="6836" w:type="dxa"/>
          </w:tcPr>
          <w:p w:rsidR="002C2781" w:rsidRPr="002C2781" w:rsidRDefault="002C2781">
            <w:r w:rsidRPr="00F32FB6">
              <w:rPr>
                <w:rFonts w:ascii="Verdana" w:hAnsi="Verdana"/>
                <w:sz w:val="18"/>
                <w:szCs w:val="20"/>
              </w:rPr>
              <w:t>Interviews, met een of twee personen. In diepte in gaan op de DUTO-</w:t>
            </w:r>
            <w:r w:rsidRPr="00F32FB6">
              <w:rPr>
                <w:rFonts w:ascii="Verdana" w:hAnsi="Verdana"/>
                <w:i/>
                <w:iCs/>
                <w:sz w:val="18"/>
                <w:szCs w:val="20"/>
              </w:rPr>
              <w:t>eisen</w:t>
            </w:r>
            <w:r w:rsidRPr="00F32FB6">
              <w:rPr>
                <w:rFonts w:ascii="Verdana" w:hAnsi="Verdana"/>
                <w:sz w:val="18"/>
                <w:szCs w:val="20"/>
              </w:rPr>
              <w:t xml:space="preserve"> en die naast de opgehaalde gebruikerservaring leggen om zo de vertaalslag te maken naar de inrichting van systemen en processen.</w:t>
            </w:r>
          </w:p>
        </w:tc>
      </w:tr>
      <w:tr w:rsidR="002C2781" w:rsidTr="002C2781">
        <w:tc>
          <w:tcPr>
            <w:tcW w:w="2376" w:type="dxa"/>
          </w:tcPr>
          <w:p w:rsidR="002C2781" w:rsidRDefault="002C2781">
            <w:r>
              <w:t>Rol onderzoeker</w:t>
            </w:r>
          </w:p>
        </w:tc>
        <w:tc>
          <w:tcPr>
            <w:tcW w:w="6836" w:type="dxa"/>
          </w:tcPr>
          <w:p w:rsidR="002C2781" w:rsidRPr="002C2781" w:rsidRDefault="002C2781">
            <w:r w:rsidRPr="00F32FB6">
              <w:rPr>
                <w:rFonts w:ascii="Verdana" w:hAnsi="Verdana"/>
                <w:sz w:val="18"/>
                <w:szCs w:val="20"/>
              </w:rPr>
              <w:t>Opgehaalde gebruikerservaring helpen vertalen naar concrete DUTO-eisen en onderzoeken in hoeverre die toegepast worden.</w:t>
            </w:r>
          </w:p>
        </w:tc>
      </w:tr>
      <w:tr w:rsidR="002C2781" w:rsidTr="004C5C14">
        <w:tc>
          <w:tcPr>
            <w:tcW w:w="9212" w:type="dxa"/>
            <w:gridSpan w:val="2"/>
            <w:shd w:val="clear" w:color="auto" w:fill="B6DDE8" w:themeFill="accent5" w:themeFillTint="66"/>
          </w:tcPr>
          <w:p w:rsidR="002C2781" w:rsidRPr="002C2781" w:rsidRDefault="002C2781" w:rsidP="002D6FDC">
            <w:pPr>
              <w:jc w:val="center"/>
            </w:pPr>
            <w:r>
              <w:t>Fase 3</w:t>
            </w:r>
          </w:p>
        </w:tc>
      </w:tr>
      <w:tr w:rsidR="002C2781" w:rsidTr="002C2781">
        <w:tc>
          <w:tcPr>
            <w:tcW w:w="2376" w:type="dxa"/>
          </w:tcPr>
          <w:p w:rsidR="002C2781" w:rsidRDefault="002C2781">
            <w:r>
              <w:t>Doel</w:t>
            </w:r>
          </w:p>
        </w:tc>
        <w:tc>
          <w:tcPr>
            <w:tcW w:w="6836" w:type="dxa"/>
          </w:tcPr>
          <w:p w:rsidR="002C2781" w:rsidRPr="002C2781" w:rsidRDefault="002C2781">
            <w:r w:rsidRPr="00F32FB6">
              <w:rPr>
                <w:rFonts w:ascii="Verdana" w:hAnsi="Verdana"/>
                <w:sz w:val="18"/>
                <w:szCs w:val="20"/>
              </w:rPr>
              <w:t>Synthese van fase 1 en 2 om concrete knelpunten te vertalen naar aanbevelingen en acties.</w:t>
            </w:r>
          </w:p>
        </w:tc>
      </w:tr>
      <w:tr w:rsidR="002C2781" w:rsidTr="002C2781">
        <w:tc>
          <w:tcPr>
            <w:tcW w:w="2376" w:type="dxa"/>
          </w:tcPr>
          <w:p w:rsidR="002C2781" w:rsidRDefault="002C2781">
            <w:r>
              <w:t>Stakeholder &amp; sponsor</w:t>
            </w:r>
          </w:p>
        </w:tc>
        <w:tc>
          <w:tcPr>
            <w:tcW w:w="6836" w:type="dxa"/>
          </w:tcPr>
          <w:p w:rsidR="002C2781" w:rsidRPr="002C2781" w:rsidRDefault="002C2781">
            <w:r>
              <w:t>Proceseigenaar en CIO</w:t>
            </w:r>
          </w:p>
        </w:tc>
      </w:tr>
      <w:tr w:rsidR="002C2781" w:rsidTr="002C2781">
        <w:tc>
          <w:tcPr>
            <w:tcW w:w="2376" w:type="dxa"/>
          </w:tcPr>
          <w:p w:rsidR="002C2781" w:rsidRDefault="002C2781">
            <w:r>
              <w:t>Respondenten</w:t>
            </w:r>
          </w:p>
        </w:tc>
        <w:tc>
          <w:tcPr>
            <w:tcW w:w="6836" w:type="dxa"/>
          </w:tcPr>
          <w:p w:rsidR="002C2781" w:rsidRPr="002C2781" w:rsidRDefault="002C2781">
            <w:r w:rsidRPr="00F32FB6">
              <w:rPr>
                <w:rFonts w:ascii="Verdana" w:hAnsi="Verdana"/>
                <w:sz w:val="18"/>
                <w:szCs w:val="20"/>
              </w:rPr>
              <w:t>Alle betrokkenen</w:t>
            </w:r>
          </w:p>
        </w:tc>
      </w:tr>
      <w:tr w:rsidR="002C2781" w:rsidTr="002C2781">
        <w:tc>
          <w:tcPr>
            <w:tcW w:w="2376" w:type="dxa"/>
          </w:tcPr>
          <w:p w:rsidR="002C2781" w:rsidRDefault="002C2781">
            <w:r>
              <w:t>Methode</w:t>
            </w:r>
          </w:p>
        </w:tc>
        <w:tc>
          <w:tcPr>
            <w:tcW w:w="6836" w:type="dxa"/>
          </w:tcPr>
          <w:p w:rsidR="002C2781" w:rsidRPr="002C2781" w:rsidRDefault="002C2781">
            <w:r w:rsidRPr="00F32FB6">
              <w:rPr>
                <w:rFonts w:ascii="Verdana" w:hAnsi="Verdana"/>
                <w:sz w:val="18"/>
                <w:szCs w:val="20"/>
              </w:rPr>
              <w:t xml:space="preserve">Workshop. Gebruikerservaringen worden gepresenteerd, vertaling naar processen en systemen wordt gepresenteerd, en alle deelnemers gaan </w:t>
            </w:r>
            <w:r w:rsidRPr="00F32FB6">
              <w:rPr>
                <w:rFonts w:ascii="Verdana" w:hAnsi="Verdana"/>
                <w:sz w:val="18"/>
                <w:szCs w:val="20"/>
              </w:rPr>
              <w:lastRenderedPageBreak/>
              <w:t>met elkaar aan de slag om een prioritering aan te brengen en concrete aanbevelingen te formuleren</w:t>
            </w:r>
          </w:p>
        </w:tc>
      </w:tr>
      <w:tr w:rsidR="002C2781" w:rsidTr="002C2781">
        <w:tc>
          <w:tcPr>
            <w:tcW w:w="2376" w:type="dxa"/>
          </w:tcPr>
          <w:p w:rsidR="002C2781" w:rsidRDefault="002C2781">
            <w:r>
              <w:lastRenderedPageBreak/>
              <w:t>Rol onderzoeker</w:t>
            </w:r>
          </w:p>
        </w:tc>
        <w:tc>
          <w:tcPr>
            <w:tcW w:w="6836" w:type="dxa"/>
          </w:tcPr>
          <w:p w:rsidR="002C2781" w:rsidRPr="002C2781" w:rsidRDefault="002C2781" w:rsidP="002C2781">
            <w:r>
              <w:t>Inhoudelijke begeleiding</w:t>
            </w:r>
          </w:p>
        </w:tc>
      </w:tr>
      <w:tr w:rsidR="002C2781" w:rsidTr="002D6FDC">
        <w:tc>
          <w:tcPr>
            <w:tcW w:w="9212" w:type="dxa"/>
            <w:gridSpan w:val="2"/>
            <w:shd w:val="clear" w:color="auto" w:fill="B6DDE8" w:themeFill="accent5" w:themeFillTint="66"/>
          </w:tcPr>
          <w:p w:rsidR="002C2781" w:rsidRPr="002C2781" w:rsidRDefault="002C2781" w:rsidP="002D6FDC">
            <w:pPr>
              <w:jc w:val="center"/>
            </w:pPr>
            <w:r>
              <w:t>Fase 4</w:t>
            </w:r>
          </w:p>
        </w:tc>
      </w:tr>
      <w:tr w:rsidR="002C2781" w:rsidTr="002C2781">
        <w:tc>
          <w:tcPr>
            <w:tcW w:w="2376" w:type="dxa"/>
          </w:tcPr>
          <w:p w:rsidR="002C2781" w:rsidRDefault="002C2781">
            <w:r>
              <w:t>Doel</w:t>
            </w:r>
          </w:p>
        </w:tc>
        <w:tc>
          <w:tcPr>
            <w:tcW w:w="6836" w:type="dxa"/>
          </w:tcPr>
          <w:p w:rsidR="002C2781" w:rsidRPr="002C2781" w:rsidRDefault="002C2781">
            <w:r>
              <w:t>Brede(re) implementatie DUTO binnen de organisatie</w:t>
            </w:r>
          </w:p>
        </w:tc>
      </w:tr>
      <w:tr w:rsidR="002C2781" w:rsidTr="002C2781">
        <w:tc>
          <w:tcPr>
            <w:tcW w:w="2376" w:type="dxa"/>
          </w:tcPr>
          <w:p w:rsidR="002C2781" w:rsidRDefault="002C2781">
            <w:r>
              <w:t>Methode</w:t>
            </w:r>
          </w:p>
        </w:tc>
        <w:tc>
          <w:tcPr>
            <w:tcW w:w="6836" w:type="dxa"/>
          </w:tcPr>
          <w:p w:rsidR="002C2781" w:rsidRPr="002C2781" w:rsidRDefault="00DB1F39">
            <w:r>
              <w:t>Situatieafhankelijk. Voorbeelden: aanstellen DUTO-ambassadeurs binnen organisatie van zorgdrager, koppelen DUTO-eisen aan breder kwaliteitsmanagement, koppelen DUTO-eisen aan architectuur.</w:t>
            </w:r>
          </w:p>
        </w:tc>
      </w:tr>
    </w:tbl>
    <w:p w:rsidR="002C2781" w:rsidRPr="002C2781" w:rsidRDefault="002C2781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sectPr w:rsidR="002C2781" w:rsidRPr="002C2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C0137"/>
    <w:multiLevelType w:val="hybridMultilevel"/>
    <w:tmpl w:val="B0D2DE5E"/>
    <w:lvl w:ilvl="0" w:tplc="D96A3A6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81"/>
    <w:rsid w:val="002C2781"/>
    <w:rsid w:val="002D6FDC"/>
    <w:rsid w:val="004C5C14"/>
    <w:rsid w:val="00B022C9"/>
    <w:rsid w:val="00C24316"/>
    <w:rsid w:val="00DB1F39"/>
    <w:rsid w:val="00F2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C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1698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C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1698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765D7-A8FC-4B87-9C79-71CE7A29271F}"/>
</file>

<file path=customXml/itemProps2.xml><?xml version="1.0" encoding="utf-8"?>
<ds:datastoreItem xmlns:ds="http://schemas.openxmlformats.org/officeDocument/2006/customXml" ds:itemID="{F67519EC-C073-4F94-A9AE-9CB4B6915C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2551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OCW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Szabo</dc:creator>
  <cp:lastModifiedBy>Andre Plat</cp:lastModifiedBy>
  <cp:revision>2</cp:revision>
  <dcterms:created xsi:type="dcterms:W3CDTF">2016-03-23T08:20:00Z</dcterms:created>
  <dcterms:modified xsi:type="dcterms:W3CDTF">2016-03-23T08:20:00Z</dcterms:modified>
</cp:coreProperties>
</file>