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01ABF" w14:textId="77777777" w:rsidR="006B047F" w:rsidRDefault="006B047F" w:rsidP="006B047F">
      <w:pPr>
        <w:pStyle w:val="Titel"/>
      </w:pPr>
      <w:r>
        <w:t>Deel 1: generiek deel</w:t>
      </w:r>
    </w:p>
    <w:p w14:paraId="7C4F0DEA" w14:textId="77777777" w:rsidR="004E6621" w:rsidRDefault="004E6621">
      <w:pPr>
        <w:rPr>
          <w:rFonts w:ascii="Verdana" w:hAnsi="Verdana"/>
          <w:b/>
          <w:bCs/>
          <w:sz w:val="20"/>
          <w:szCs w:val="20"/>
        </w:rPr>
      </w:pPr>
    </w:p>
    <w:p w14:paraId="7FD5C603" w14:textId="77777777" w:rsidR="006433F7" w:rsidRDefault="006433F7" w:rsidP="006433F7">
      <w:pPr>
        <w:pStyle w:val="Kop2"/>
      </w:pPr>
      <w:r>
        <w:t>Inleiding</w:t>
      </w:r>
    </w:p>
    <w:p w14:paraId="4B7FAF7F" w14:textId="77777777" w:rsidR="00386EA3" w:rsidRPr="00470C5C" w:rsidRDefault="00386EA3" w:rsidP="00386EA3">
      <w:pPr>
        <w:rPr>
          <w:rFonts w:cstheme="minorHAnsi"/>
        </w:rPr>
      </w:pPr>
      <w:r w:rsidRPr="00470C5C">
        <w:rPr>
          <w:rFonts w:cstheme="minorHAnsi"/>
        </w:rPr>
        <w:t xml:space="preserve">Binnen het DUTO raamwerk onderscheiden we een aantal generieke onderdelen: </w:t>
      </w:r>
    </w:p>
    <w:p w14:paraId="7C7C75B9" w14:textId="77777777" w:rsidR="00386EA3" w:rsidRPr="00D25C15" w:rsidRDefault="00386EA3" w:rsidP="00386EA3">
      <w:pPr>
        <w:pStyle w:val="Lijstalinea"/>
        <w:numPr>
          <w:ilvl w:val="0"/>
          <w:numId w:val="24"/>
        </w:numPr>
        <w:rPr>
          <w:rFonts w:cstheme="minorHAnsi"/>
        </w:rPr>
      </w:pPr>
      <w:r w:rsidRPr="00D25C15">
        <w:rPr>
          <w:rFonts w:cstheme="minorHAnsi"/>
        </w:rPr>
        <w:t>Het DUTO-functiemodel</w:t>
      </w:r>
    </w:p>
    <w:p w14:paraId="4DBD2B33" w14:textId="77777777" w:rsidR="00386EA3" w:rsidRPr="00D25C15" w:rsidRDefault="00386EA3" w:rsidP="00386EA3">
      <w:pPr>
        <w:pStyle w:val="Lijstalinea"/>
        <w:numPr>
          <w:ilvl w:val="0"/>
          <w:numId w:val="24"/>
        </w:numPr>
        <w:rPr>
          <w:rFonts w:cstheme="minorHAnsi"/>
        </w:rPr>
      </w:pPr>
      <w:r w:rsidRPr="00D25C15">
        <w:rPr>
          <w:rFonts w:cstheme="minorHAnsi"/>
        </w:rPr>
        <w:t xml:space="preserve">DUTO- processenmodel </w:t>
      </w:r>
    </w:p>
    <w:p w14:paraId="6D2F1A11" w14:textId="77777777" w:rsidR="00386EA3" w:rsidRPr="00D25C15" w:rsidRDefault="00386EA3" w:rsidP="00386EA3">
      <w:pPr>
        <w:pStyle w:val="Lijstalinea"/>
        <w:numPr>
          <w:ilvl w:val="0"/>
          <w:numId w:val="24"/>
        </w:numPr>
        <w:rPr>
          <w:rFonts w:cstheme="minorHAnsi"/>
        </w:rPr>
      </w:pPr>
      <w:r w:rsidRPr="00D25C15">
        <w:rPr>
          <w:rFonts w:cstheme="minorHAnsi"/>
        </w:rPr>
        <w:t>Generieke (rand) voorwaarden</w:t>
      </w:r>
    </w:p>
    <w:p w14:paraId="4307F683" w14:textId="77777777" w:rsidR="00386EA3" w:rsidRPr="00D25C15" w:rsidRDefault="00386EA3" w:rsidP="00386EA3">
      <w:pPr>
        <w:pStyle w:val="Lijstalinea"/>
        <w:numPr>
          <w:ilvl w:val="0"/>
          <w:numId w:val="24"/>
        </w:numPr>
        <w:rPr>
          <w:rFonts w:cstheme="minorHAnsi"/>
        </w:rPr>
      </w:pPr>
      <w:r w:rsidRPr="00D25C15">
        <w:rPr>
          <w:rFonts w:cstheme="minorHAnsi"/>
        </w:rPr>
        <w:t>Implementatiepatronen</w:t>
      </w:r>
    </w:p>
    <w:p w14:paraId="2388CEA4" w14:textId="77777777" w:rsidR="00386EA3" w:rsidRPr="00470C5C" w:rsidRDefault="00386EA3" w:rsidP="00386EA3">
      <w:pPr>
        <w:rPr>
          <w:rFonts w:cstheme="minorHAnsi"/>
        </w:rPr>
      </w:pPr>
      <w:r w:rsidRPr="00470C5C">
        <w:rPr>
          <w:rFonts w:cstheme="minorHAnsi"/>
        </w:rPr>
        <w:t xml:space="preserve">In dit deel beschrijven we de inhoud van de verschillende </w:t>
      </w:r>
      <w:r>
        <w:rPr>
          <w:rFonts w:cstheme="minorHAnsi"/>
        </w:rPr>
        <w:t xml:space="preserve">generieke </w:t>
      </w:r>
      <w:r w:rsidRPr="00470C5C">
        <w:rPr>
          <w:rFonts w:cstheme="minorHAnsi"/>
        </w:rPr>
        <w:t>onderdelen en hoe deze zich tot elkaar verhouden</w:t>
      </w:r>
      <w:r>
        <w:rPr>
          <w:rFonts w:cstheme="minorHAnsi"/>
        </w:rPr>
        <w:t xml:space="preserve">. Dit is de basis voor het uitwerken van de processen in het specifieke deel. </w:t>
      </w:r>
      <w:r w:rsidRPr="00470C5C">
        <w:rPr>
          <w:rFonts w:cstheme="minorHAnsi"/>
        </w:rPr>
        <w:t xml:space="preserve"> </w:t>
      </w:r>
    </w:p>
    <w:p w14:paraId="1C43E9FD" w14:textId="77777777" w:rsidR="00386EA3" w:rsidRPr="00AB4E64" w:rsidRDefault="00386EA3" w:rsidP="00386EA3">
      <w:pPr>
        <w:pStyle w:val="Kop2"/>
      </w:pPr>
      <w:r w:rsidRPr="00AB4E64">
        <w:t>Waarom dit deel?</w:t>
      </w:r>
    </w:p>
    <w:p w14:paraId="74744D8C" w14:textId="77777777" w:rsidR="00386EA3" w:rsidRPr="00AB4E64" w:rsidRDefault="00386EA3" w:rsidP="00386EA3">
      <w:pPr>
        <w:rPr>
          <w:rFonts w:cstheme="minorHAnsi"/>
          <w:i/>
          <w:iCs/>
        </w:rPr>
      </w:pPr>
      <w:r w:rsidRPr="00AB4E64">
        <w:rPr>
          <w:rFonts w:cstheme="minorHAnsi"/>
        </w:rPr>
        <w:t>Dit deel met de generieke DUTO-</w:t>
      </w:r>
      <w:r>
        <w:rPr>
          <w:rFonts w:cstheme="minorHAnsi"/>
        </w:rPr>
        <w:t>onderdelen</w:t>
      </w:r>
      <w:r w:rsidRPr="00AB4E64">
        <w:rPr>
          <w:rFonts w:cstheme="minorHAnsi"/>
        </w:rPr>
        <w:t xml:space="preserve"> biedt een leidraad op hoofdlijnen. Het processenmodel, functiemodel en de implementatiepatroon zijn toepasbaar op de vijf processen in het DUTO-raamwerk. Voor elk proces is er ook nog een specifiek deel met daarin een concrete uitwerking. In het specifieke deel worden de bij een DUTO-proces behorende functies gekoppeld aan modeleisen.</w:t>
      </w:r>
    </w:p>
    <w:p w14:paraId="5FEC13F0" w14:textId="77777777" w:rsidR="00C61C48" w:rsidRDefault="00C61C48" w:rsidP="00C61C48">
      <w:pPr>
        <w:pStyle w:val="Kop2"/>
      </w:pPr>
      <w:r>
        <w:t>DUTO-processenmodel</w:t>
      </w:r>
    </w:p>
    <w:p w14:paraId="7EC5C97B" w14:textId="23B2EC96" w:rsidR="00C61C48" w:rsidRDefault="00C61C48" w:rsidP="00C61C48">
      <w:r>
        <w:t>Het DUTO-processenmodel is gebaseerd op de data(document) lifecycle en bevat alle DUTO-processen, binnen een bedrijfsproces, die nodig zijn om duurzame toegankelijkheid te realiseren.</w:t>
      </w:r>
      <w:r w:rsidRPr="008926B6">
        <w:t xml:space="preserve"> </w:t>
      </w:r>
      <w:r w:rsidR="0089129A">
        <w:t xml:space="preserve">De processen zijn te relateren aan hoofdstuk </w:t>
      </w:r>
      <w:r w:rsidR="004663E8">
        <w:t>9</w:t>
      </w:r>
      <w:r w:rsidR="0089129A">
        <w:t xml:space="preserve"> van NEN-ISO 15489-1.</w:t>
      </w:r>
    </w:p>
    <w:p w14:paraId="04CF7816" w14:textId="77777777" w:rsidR="00C61C48" w:rsidRDefault="00C61C48" w:rsidP="00C61C48">
      <w:pPr>
        <w:ind w:left="-851"/>
      </w:pPr>
      <w:r>
        <w:rPr>
          <w:noProof/>
          <w:lang w:eastAsia="nl-NL"/>
        </w:rPr>
        <w:drawing>
          <wp:inline distT="0" distB="0" distL="0" distR="0" wp14:anchorId="3580FBCD" wp14:editId="3048B493">
            <wp:extent cx="7023600" cy="3006000"/>
            <wp:effectExtent l="0" t="0" r="6350" b="444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023600" cy="3006000"/>
                    </a:xfrm>
                    <a:prstGeom prst="rect">
                      <a:avLst/>
                    </a:prstGeom>
                  </pic:spPr>
                </pic:pic>
              </a:graphicData>
            </a:graphic>
          </wp:inline>
        </w:drawing>
      </w:r>
    </w:p>
    <w:p w14:paraId="263E95F9" w14:textId="77777777" w:rsidR="00C61C48" w:rsidRDefault="00C61C48" w:rsidP="00C61C48">
      <w:r>
        <w:t>In dit model worden de volgende basisprocessen onderscheiden:</w:t>
      </w:r>
    </w:p>
    <w:tbl>
      <w:tblPr>
        <w:tblStyle w:val="Tabelraster"/>
        <w:tblW w:w="0" w:type="auto"/>
        <w:tblLook w:val="04A0" w:firstRow="1" w:lastRow="0" w:firstColumn="1" w:lastColumn="0" w:noHBand="0" w:noVBand="1"/>
      </w:tblPr>
      <w:tblGrid>
        <w:gridCol w:w="1838"/>
        <w:gridCol w:w="7224"/>
      </w:tblGrid>
      <w:tr w:rsidR="00C61C48" w:rsidRPr="00277F5E" w14:paraId="31ADACE4" w14:textId="77777777" w:rsidTr="007D65B3">
        <w:tc>
          <w:tcPr>
            <w:tcW w:w="1838" w:type="dxa"/>
            <w:shd w:val="clear" w:color="auto" w:fill="2E74B5" w:themeFill="accent1" w:themeFillShade="BF"/>
          </w:tcPr>
          <w:p w14:paraId="4A0C2ADA" w14:textId="77777777" w:rsidR="00C61C48" w:rsidRPr="00277F5E" w:rsidRDefault="00C61C48" w:rsidP="007D65B3">
            <w:pPr>
              <w:rPr>
                <w:b/>
                <w:bCs/>
                <w:color w:val="FFFFFF" w:themeColor="background1"/>
              </w:rPr>
            </w:pPr>
            <w:r>
              <w:rPr>
                <w:b/>
                <w:bCs/>
                <w:color w:val="FFFFFF" w:themeColor="background1"/>
              </w:rPr>
              <w:t xml:space="preserve"> Basisproces</w:t>
            </w:r>
          </w:p>
        </w:tc>
        <w:tc>
          <w:tcPr>
            <w:tcW w:w="7224" w:type="dxa"/>
            <w:shd w:val="clear" w:color="auto" w:fill="2E74B5" w:themeFill="accent1" w:themeFillShade="BF"/>
          </w:tcPr>
          <w:p w14:paraId="4FD4CC47" w14:textId="77777777" w:rsidR="00C61C48" w:rsidRPr="00277F5E" w:rsidRDefault="00C61C48" w:rsidP="007D65B3">
            <w:pPr>
              <w:rPr>
                <w:b/>
                <w:bCs/>
                <w:color w:val="FFFFFF" w:themeColor="background1"/>
              </w:rPr>
            </w:pPr>
            <w:r w:rsidRPr="00277F5E">
              <w:rPr>
                <w:b/>
                <w:bCs/>
                <w:color w:val="FFFFFF" w:themeColor="background1"/>
              </w:rPr>
              <w:t>Definitie</w:t>
            </w:r>
          </w:p>
        </w:tc>
      </w:tr>
      <w:tr w:rsidR="00C61C48" w:rsidRPr="00277F5E" w14:paraId="76BA5006" w14:textId="77777777" w:rsidTr="007D65B3">
        <w:tc>
          <w:tcPr>
            <w:tcW w:w="1838" w:type="dxa"/>
            <w:shd w:val="clear" w:color="auto" w:fill="BDD6EE" w:themeFill="accent1" w:themeFillTint="66"/>
          </w:tcPr>
          <w:p w14:paraId="6ECE6C49" w14:textId="77777777" w:rsidR="00C61C48" w:rsidRDefault="00C61C48" w:rsidP="007D65B3">
            <w:r>
              <w:t>Registreren</w:t>
            </w:r>
          </w:p>
        </w:tc>
        <w:tc>
          <w:tcPr>
            <w:tcW w:w="7224" w:type="dxa"/>
            <w:shd w:val="clear" w:color="auto" w:fill="DEEAF6" w:themeFill="accent1" w:themeFillTint="33"/>
          </w:tcPr>
          <w:p w14:paraId="001D14F9" w14:textId="5FBEBBB8" w:rsidR="00C61C48" w:rsidRDefault="00C61C48" w:rsidP="007D65B3">
            <w:r>
              <w:t>Het DUTO-proces</w:t>
            </w:r>
            <w:r w:rsidRPr="007324F5">
              <w:t xml:space="preserve"> </w:t>
            </w:r>
            <w:r>
              <w:t>r</w:t>
            </w:r>
            <w:r w:rsidRPr="007324F5">
              <w:t>egistreren gaat over de activiteiten die nodig zijn voor het opnemen van informatieobjecten, zoals (combinaties van) bestanden, gegevens, datasets, links en verwijzingen, in een informatiesysteem</w:t>
            </w:r>
            <w:r w:rsidR="005603DF">
              <w:t xml:space="preserve"> nadat deze zijn ontvangen, ontstaan of gewijzigd</w:t>
            </w:r>
            <w:r w:rsidRPr="007324F5">
              <w:t>.</w:t>
            </w:r>
          </w:p>
        </w:tc>
      </w:tr>
      <w:tr w:rsidR="00C61C48" w:rsidRPr="00277F5E" w14:paraId="145A1857" w14:textId="77777777" w:rsidTr="007D65B3">
        <w:tc>
          <w:tcPr>
            <w:tcW w:w="1838" w:type="dxa"/>
            <w:shd w:val="clear" w:color="auto" w:fill="BDD6EE" w:themeFill="accent1" w:themeFillTint="66"/>
          </w:tcPr>
          <w:p w14:paraId="5CA29B0B" w14:textId="77777777" w:rsidR="00C61C48" w:rsidRDefault="00C61C48" w:rsidP="007D65B3">
            <w:r>
              <w:t>Vernietigen</w:t>
            </w:r>
          </w:p>
          <w:p w14:paraId="0545C3D2" w14:textId="77777777" w:rsidR="00EE3C3B" w:rsidRPr="00EE3C3B" w:rsidRDefault="00EE3C3B" w:rsidP="00EE3C3B"/>
          <w:p w14:paraId="2A9CC7A5" w14:textId="77777777" w:rsidR="00EE3C3B" w:rsidRDefault="00EE3C3B" w:rsidP="00EE3C3B"/>
          <w:p w14:paraId="649CDF87" w14:textId="607604A3" w:rsidR="00EE3C3B" w:rsidRPr="00EE3C3B" w:rsidRDefault="00EE3C3B" w:rsidP="00EE3C3B"/>
        </w:tc>
        <w:tc>
          <w:tcPr>
            <w:tcW w:w="7224" w:type="dxa"/>
            <w:shd w:val="clear" w:color="auto" w:fill="DEEAF6" w:themeFill="accent1" w:themeFillTint="33"/>
          </w:tcPr>
          <w:p w14:paraId="7138351A" w14:textId="77777777" w:rsidR="00C61C48" w:rsidRPr="00277F5E" w:rsidRDefault="00C61C48" w:rsidP="007D65B3">
            <w:r>
              <w:lastRenderedPageBreak/>
              <w:t>Het DUTO-proces</w:t>
            </w:r>
            <w:r w:rsidRPr="00E41078">
              <w:t xml:space="preserve"> vernietigen gaat over de activiteiten die nodig zijn om informatieobjecten, zoals (combinaties van) bestanden, gegevens, datasets, </w:t>
            </w:r>
            <w:r w:rsidRPr="00E41078">
              <w:lastRenderedPageBreak/>
              <w:t>links en verwijzingen, aan het einde van de vastgestelde bewaartermijn te vernietigen op de plek waar deze zich bevinden zodat deze voor niemand meer kenbaar en/of vindbaar en/of reconstrueerbaar zijn.</w:t>
            </w:r>
          </w:p>
        </w:tc>
      </w:tr>
      <w:tr w:rsidR="00C61C48" w:rsidRPr="00277F5E" w14:paraId="5703D61D" w14:textId="77777777" w:rsidTr="007D65B3">
        <w:tc>
          <w:tcPr>
            <w:tcW w:w="1838" w:type="dxa"/>
            <w:shd w:val="clear" w:color="auto" w:fill="BDD6EE" w:themeFill="accent1" w:themeFillTint="66"/>
          </w:tcPr>
          <w:p w14:paraId="5F6478AD" w14:textId="77777777" w:rsidR="00C61C48" w:rsidRDefault="00C61C48" w:rsidP="007D65B3">
            <w:r>
              <w:lastRenderedPageBreak/>
              <w:t>Bewaren</w:t>
            </w:r>
          </w:p>
        </w:tc>
        <w:tc>
          <w:tcPr>
            <w:tcW w:w="7224" w:type="dxa"/>
            <w:shd w:val="clear" w:color="auto" w:fill="DEEAF6" w:themeFill="accent1" w:themeFillTint="33"/>
          </w:tcPr>
          <w:p w14:paraId="2C767218" w14:textId="7B881B7B" w:rsidR="00C61C48" w:rsidRPr="00277F5E" w:rsidRDefault="00C61C48" w:rsidP="003131B5">
            <w:r>
              <w:t>Het DUTO-proces</w:t>
            </w:r>
            <w:r w:rsidRPr="00E41078">
              <w:t xml:space="preserve"> </w:t>
            </w:r>
            <w:r w:rsidR="003131B5">
              <w:t>bewaren</w:t>
            </w:r>
            <w:r w:rsidRPr="00E41078">
              <w:t xml:space="preserve"> gaat over de activiteiten die nodig zijn om informatieobjecten, zoals (combinaties van) bestanden, gegevens, datasets, links </w:t>
            </w:r>
            <w:r>
              <w:t>toekomstbestendig in stand te houden.</w:t>
            </w:r>
          </w:p>
        </w:tc>
      </w:tr>
      <w:tr w:rsidR="00C61C48" w:rsidRPr="00277F5E" w14:paraId="6FCA50F4" w14:textId="77777777" w:rsidTr="007D65B3">
        <w:tc>
          <w:tcPr>
            <w:tcW w:w="1838" w:type="dxa"/>
            <w:shd w:val="clear" w:color="auto" w:fill="BDD6EE" w:themeFill="accent1" w:themeFillTint="66"/>
          </w:tcPr>
          <w:p w14:paraId="4939F6BE" w14:textId="77777777" w:rsidR="00C61C48" w:rsidRPr="00277F5E" w:rsidRDefault="00C61C48" w:rsidP="007D65B3">
            <w:r>
              <w:t>Migreren</w:t>
            </w:r>
          </w:p>
        </w:tc>
        <w:tc>
          <w:tcPr>
            <w:tcW w:w="7224" w:type="dxa"/>
            <w:shd w:val="clear" w:color="auto" w:fill="DEEAF6" w:themeFill="accent1" w:themeFillTint="33"/>
          </w:tcPr>
          <w:p w14:paraId="4FBBB98E" w14:textId="77777777" w:rsidR="00C61C48" w:rsidRPr="00277F5E" w:rsidRDefault="00C61C48" w:rsidP="007D65B3">
            <w:r>
              <w:t>Het DUTO-proces</w:t>
            </w:r>
            <w:r w:rsidRPr="00E41078">
              <w:t xml:space="preserve"> </w:t>
            </w:r>
            <w:r>
              <w:t>migreren</w:t>
            </w:r>
            <w:r w:rsidRPr="00E41078">
              <w:t xml:space="preserve"> gaat over de activiteiten die nodig zijn om informatieobjecten, zoals (combinaties van) bestanden, gegevens, datasets, links en verwijzingen</w:t>
            </w:r>
            <w:r>
              <w:t xml:space="preserve"> te verplaatsen.</w:t>
            </w:r>
          </w:p>
        </w:tc>
      </w:tr>
      <w:tr w:rsidR="00C61C48" w:rsidRPr="00277F5E" w14:paraId="7FBD14CB" w14:textId="77777777" w:rsidTr="007D65B3">
        <w:tc>
          <w:tcPr>
            <w:tcW w:w="1838" w:type="dxa"/>
            <w:shd w:val="clear" w:color="auto" w:fill="BDD6EE" w:themeFill="accent1" w:themeFillTint="66"/>
          </w:tcPr>
          <w:p w14:paraId="3F908EB6" w14:textId="77777777" w:rsidR="00C61C48" w:rsidRPr="00277F5E" w:rsidRDefault="00C61C48" w:rsidP="007D65B3">
            <w:r>
              <w:t>Ter beschikking stellen</w:t>
            </w:r>
          </w:p>
        </w:tc>
        <w:tc>
          <w:tcPr>
            <w:tcW w:w="7224" w:type="dxa"/>
            <w:shd w:val="clear" w:color="auto" w:fill="DEEAF6" w:themeFill="accent1" w:themeFillTint="33"/>
          </w:tcPr>
          <w:p w14:paraId="27BFAF84" w14:textId="77777777" w:rsidR="00C61C48" w:rsidRPr="00277F5E" w:rsidRDefault="00C61C48" w:rsidP="007D65B3">
            <w:r>
              <w:t>Het DUTO-proces</w:t>
            </w:r>
            <w:r w:rsidRPr="00E41078">
              <w:t xml:space="preserve"> </w:t>
            </w:r>
            <w:r>
              <w:t>ter beschikking stellen</w:t>
            </w:r>
            <w:r w:rsidRPr="00E41078">
              <w:t xml:space="preserve"> gaat over de activiteiten die nodig zijn om informatieobjecten, zoals (combinaties van) bestanden, gegevens, datasets, links </w:t>
            </w:r>
            <w:r>
              <w:t>te leveren voor (her)gebruik.</w:t>
            </w:r>
          </w:p>
        </w:tc>
      </w:tr>
    </w:tbl>
    <w:p w14:paraId="13D3B8A5" w14:textId="77777777" w:rsidR="00C61C48" w:rsidRDefault="00C61C48" w:rsidP="00C61C48"/>
    <w:p w14:paraId="3C5F4006" w14:textId="77777777" w:rsidR="00C61C48" w:rsidRDefault="00C61C48" w:rsidP="00C61C48">
      <w:r>
        <w:t>De DUTO-processen staan niet op zichzelf maar hebben een onderlinge relatie met elkaar. Zo moet je eerst registreren wil je kunnen vernietigen of bewaren.</w:t>
      </w:r>
    </w:p>
    <w:p w14:paraId="2D27F4DB" w14:textId="77777777" w:rsidR="00C61C48" w:rsidRDefault="00C61C48" w:rsidP="00C61C48">
      <w:r>
        <w:rPr>
          <w:noProof/>
          <w:lang w:eastAsia="nl-NL"/>
        </w:rPr>
        <w:drawing>
          <wp:inline distT="0" distB="0" distL="0" distR="0" wp14:anchorId="704441B8" wp14:editId="059A1347">
            <wp:extent cx="5760000" cy="37044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000" cy="3704400"/>
                    </a:xfrm>
                    <a:prstGeom prst="rect">
                      <a:avLst/>
                    </a:prstGeom>
                  </pic:spPr>
                </pic:pic>
              </a:graphicData>
            </a:graphic>
          </wp:inline>
        </w:drawing>
      </w:r>
    </w:p>
    <w:p w14:paraId="70E944C1" w14:textId="77777777" w:rsidR="00C61C48" w:rsidRDefault="00C61C48" w:rsidP="00C61C48">
      <w:r>
        <w:t xml:space="preserve">Een DUTO-proces kan om verschillende redenen worden ingezet. Zo kan ‘migreren’ worden ingezet wanneer een bronapplicatie wordt vervangen en de content wordt overgezet naar het doelsysteem, maar het kan ook worden ingezet wanneer informatieobjecten worden overgebracht naar een archiefbewaarplaats. </w:t>
      </w:r>
    </w:p>
    <w:p w14:paraId="3FFFA017" w14:textId="77777777" w:rsidR="00C61C48" w:rsidRDefault="00C61C48" w:rsidP="00C61C48">
      <w:r>
        <w:t>Sommige functies zijn specifiek en ondersteunen slechts één DUTO-proces. Andere functies zijn generiek en ondersteunen meerdere DUTO-processen. Zo maken bijvoorbeeld alle DUTO-processen gebruikt van de functies metadata- en toegangsbeheer.</w:t>
      </w:r>
    </w:p>
    <w:p w14:paraId="4CAD757C" w14:textId="77777777" w:rsidR="00C61C48" w:rsidRDefault="00C61C48" w:rsidP="00C61C48">
      <w:r>
        <w:t>In het DUTO-raamwerk worden de DUTO-processen elk in een specifiek deel uitgewerkt. Zowel vanuit de DUTO-processen als vanuit de DUTO-functies kom je uit bij de bijbehorende DUTO-modeleisen.</w:t>
      </w:r>
    </w:p>
    <w:p w14:paraId="57DFE557" w14:textId="1423FDC4" w:rsidR="00EE5738" w:rsidRPr="00C022D3" w:rsidRDefault="00EE5738" w:rsidP="00EE5738">
      <w:pPr>
        <w:pStyle w:val="Kop2"/>
      </w:pPr>
      <w:r w:rsidRPr="00C022D3">
        <w:lastRenderedPageBreak/>
        <w:t>DUTO-functiemodel</w:t>
      </w:r>
    </w:p>
    <w:p w14:paraId="436E1D10" w14:textId="0CD29013" w:rsidR="00EE5738" w:rsidRDefault="00EE5738" w:rsidP="00EE5738">
      <w:r w:rsidRPr="005C0EE6">
        <w:t xml:space="preserve">Het </w:t>
      </w:r>
      <w:r>
        <w:t>DUTO-</w:t>
      </w:r>
      <w:r w:rsidRPr="005C0EE6">
        <w:t>functiemodel bevat alle functies d</w:t>
      </w:r>
      <w:r>
        <w:t xml:space="preserve">ie nodig zijn om duurzame toegankelijkheid te realiseren. De functies zijn thematisch gegroepeerd volgens de indeling die wordt gehanteerd in de NEN-ISO 16175-1. In het DUTO-raamwerk zijn alle modeleisen gekoppeld aan een functie uit het </w:t>
      </w:r>
      <w:r w:rsidR="00D36C67">
        <w:t>DUTO-</w:t>
      </w:r>
      <w:r>
        <w:t>functiemodel.</w:t>
      </w:r>
    </w:p>
    <w:p w14:paraId="725DBC36" w14:textId="7F25E527" w:rsidR="00EE5738" w:rsidRDefault="00C61C48" w:rsidP="00C61C48">
      <w:pPr>
        <w:ind w:left="-142"/>
      </w:pPr>
      <w:r>
        <w:rPr>
          <w:noProof/>
          <w:lang w:eastAsia="nl-NL"/>
        </w:rPr>
        <w:drawing>
          <wp:inline distT="0" distB="0" distL="0" distR="0" wp14:anchorId="6BD50E17" wp14:editId="03C1DC01">
            <wp:extent cx="4208400" cy="3614400"/>
            <wp:effectExtent l="0" t="0" r="1905" b="571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08400" cy="3614400"/>
                    </a:xfrm>
                    <a:prstGeom prst="rect">
                      <a:avLst/>
                    </a:prstGeom>
                  </pic:spPr>
                </pic:pic>
              </a:graphicData>
            </a:graphic>
          </wp:inline>
        </w:drawing>
      </w:r>
    </w:p>
    <w:p w14:paraId="110A55D0" w14:textId="49B34F49" w:rsidR="00EE5738" w:rsidRDefault="00EE5738" w:rsidP="00EE5738">
      <w:r>
        <w:t>In dit model worden de volgende functies onderscheiden:</w:t>
      </w:r>
    </w:p>
    <w:tbl>
      <w:tblPr>
        <w:tblStyle w:val="Tabelraster1"/>
        <w:tblW w:w="9180" w:type="dxa"/>
        <w:tblInd w:w="-113" w:type="dxa"/>
        <w:tblLook w:val="04A0" w:firstRow="1" w:lastRow="0" w:firstColumn="1" w:lastColumn="0" w:noHBand="0" w:noVBand="1"/>
      </w:tblPr>
      <w:tblGrid>
        <w:gridCol w:w="2106"/>
        <w:gridCol w:w="7074"/>
      </w:tblGrid>
      <w:tr w:rsidR="00B4714A" w:rsidRPr="00277F5E" w14:paraId="2AC0FDA0" w14:textId="77777777" w:rsidTr="00B4714A">
        <w:tc>
          <w:tcPr>
            <w:tcW w:w="1834" w:type="dxa"/>
            <w:shd w:val="clear" w:color="auto" w:fill="2E74B5" w:themeFill="accent1" w:themeFillShade="BF"/>
          </w:tcPr>
          <w:p w14:paraId="290838EB" w14:textId="77777777" w:rsidR="00B4714A" w:rsidRPr="00277F5E" w:rsidRDefault="00B4714A" w:rsidP="00943607">
            <w:pPr>
              <w:rPr>
                <w:b/>
                <w:bCs/>
                <w:color w:val="FFFFFF" w:themeColor="background1"/>
              </w:rPr>
            </w:pPr>
            <w:r w:rsidRPr="00277F5E">
              <w:rPr>
                <w:b/>
                <w:bCs/>
                <w:color w:val="FFFFFF" w:themeColor="background1"/>
              </w:rPr>
              <w:t>Functie</w:t>
            </w:r>
          </w:p>
        </w:tc>
        <w:tc>
          <w:tcPr>
            <w:tcW w:w="7346" w:type="dxa"/>
            <w:shd w:val="clear" w:color="auto" w:fill="2E74B5" w:themeFill="accent1" w:themeFillShade="BF"/>
          </w:tcPr>
          <w:p w14:paraId="3B7C4DC9" w14:textId="77777777" w:rsidR="00B4714A" w:rsidRPr="00277F5E" w:rsidRDefault="00B4714A" w:rsidP="00943607">
            <w:pPr>
              <w:rPr>
                <w:b/>
                <w:bCs/>
                <w:color w:val="FFFFFF" w:themeColor="background1"/>
              </w:rPr>
            </w:pPr>
            <w:r w:rsidRPr="00277F5E">
              <w:rPr>
                <w:b/>
                <w:bCs/>
                <w:color w:val="FFFFFF" w:themeColor="background1"/>
              </w:rPr>
              <w:t>Definitie</w:t>
            </w:r>
          </w:p>
        </w:tc>
      </w:tr>
      <w:tr w:rsidR="00B4714A" w:rsidRPr="00277F5E" w14:paraId="034D5C3E" w14:textId="77777777" w:rsidTr="00B4714A">
        <w:tc>
          <w:tcPr>
            <w:tcW w:w="1834" w:type="dxa"/>
            <w:shd w:val="clear" w:color="auto" w:fill="BDD6EE" w:themeFill="accent1" w:themeFillTint="66"/>
          </w:tcPr>
          <w:p w14:paraId="48CEA24A" w14:textId="77777777" w:rsidR="00B4714A" w:rsidRPr="00277F5E" w:rsidRDefault="00B4714A" w:rsidP="00943607">
            <w:r w:rsidRPr="00277F5E">
              <w:t>Creatie</w:t>
            </w:r>
          </w:p>
        </w:tc>
        <w:tc>
          <w:tcPr>
            <w:tcW w:w="7346" w:type="dxa"/>
            <w:shd w:val="clear" w:color="auto" w:fill="DEEAF6" w:themeFill="accent1" w:themeFillTint="33"/>
          </w:tcPr>
          <w:p w14:paraId="3A34CF71" w14:textId="1E60A6EA" w:rsidR="00B4714A" w:rsidRDefault="00B4714A" w:rsidP="00943607">
            <w:r w:rsidRPr="00277F5E">
              <w:t>Functie voor het aanmaken</w:t>
            </w:r>
            <w:r w:rsidR="001C70BE">
              <w:t xml:space="preserve"> en</w:t>
            </w:r>
            <w:r w:rsidRPr="00277F5E">
              <w:t xml:space="preserve"> aanpassen van informatieobjecten</w:t>
            </w:r>
          </w:p>
          <w:p w14:paraId="170704BC" w14:textId="77777777" w:rsidR="00B4714A" w:rsidRPr="00277F5E" w:rsidRDefault="00B4714A" w:rsidP="00943607">
            <w:r>
              <w:t>Meestal is dit kantoorautomatisering en/of een formulieren voorziening</w:t>
            </w:r>
          </w:p>
        </w:tc>
      </w:tr>
      <w:tr w:rsidR="00B4714A" w:rsidRPr="00277F5E" w14:paraId="4B5BE657" w14:textId="77777777" w:rsidTr="00B4714A">
        <w:tc>
          <w:tcPr>
            <w:tcW w:w="1834" w:type="dxa"/>
            <w:shd w:val="clear" w:color="auto" w:fill="BDD6EE" w:themeFill="accent1" w:themeFillTint="66"/>
          </w:tcPr>
          <w:p w14:paraId="49D875FD" w14:textId="77777777" w:rsidR="00B4714A" w:rsidRPr="00277F5E" w:rsidRDefault="00B4714A" w:rsidP="00943607">
            <w:r w:rsidRPr="00277F5E">
              <w:t xml:space="preserve">Opname </w:t>
            </w:r>
          </w:p>
        </w:tc>
        <w:tc>
          <w:tcPr>
            <w:tcW w:w="7346" w:type="dxa"/>
            <w:shd w:val="clear" w:color="auto" w:fill="DEEAF6" w:themeFill="accent1" w:themeFillTint="33"/>
          </w:tcPr>
          <w:p w14:paraId="10333EFC" w14:textId="77777777" w:rsidR="00B4714A" w:rsidRDefault="00B4714A" w:rsidP="00943607">
            <w:r w:rsidRPr="00277F5E">
              <w:t>Functie voor het vastleggen van informatieobjecten</w:t>
            </w:r>
          </w:p>
          <w:p w14:paraId="19040C63" w14:textId="77777777" w:rsidR="00B4714A" w:rsidRPr="00277F5E" w:rsidRDefault="00B4714A" w:rsidP="00943607">
            <w:r>
              <w:t>Gaat meestal via de taak, zaak, vak, procesapplicatie die het proces regisseert</w:t>
            </w:r>
          </w:p>
        </w:tc>
      </w:tr>
      <w:tr w:rsidR="00B4714A" w:rsidRPr="00277F5E" w14:paraId="6DD52F61" w14:textId="77777777" w:rsidTr="00B4714A">
        <w:tc>
          <w:tcPr>
            <w:tcW w:w="1834" w:type="dxa"/>
            <w:shd w:val="clear" w:color="auto" w:fill="BDD6EE" w:themeFill="accent1" w:themeFillTint="66"/>
          </w:tcPr>
          <w:p w14:paraId="1FA0702C" w14:textId="77777777" w:rsidR="00B4714A" w:rsidRPr="00277F5E" w:rsidRDefault="00B4714A" w:rsidP="00943607">
            <w:r w:rsidRPr="00277F5E">
              <w:t xml:space="preserve">Scanning </w:t>
            </w:r>
          </w:p>
        </w:tc>
        <w:tc>
          <w:tcPr>
            <w:tcW w:w="7346" w:type="dxa"/>
            <w:shd w:val="clear" w:color="auto" w:fill="DEEAF6" w:themeFill="accent1" w:themeFillTint="33"/>
          </w:tcPr>
          <w:p w14:paraId="68FC1648" w14:textId="77777777" w:rsidR="00B4714A" w:rsidRDefault="00B4714A" w:rsidP="00943607">
            <w:r w:rsidRPr="00277F5E">
              <w:t>Functie voor het omzetten van een fysiek bestand naar een digitaal informatieobject</w:t>
            </w:r>
            <w:r>
              <w:t>.</w:t>
            </w:r>
          </w:p>
          <w:p w14:paraId="29EFC13E" w14:textId="77777777" w:rsidR="00B4714A" w:rsidRPr="00277F5E" w:rsidRDefault="00B4714A" w:rsidP="00943607">
            <w:r>
              <w:t>Meestal a</w:t>
            </w:r>
            <w:r w:rsidRPr="001B5428">
              <w:t>parte software die gekoppeld is aan de technische voorziening</w:t>
            </w:r>
          </w:p>
        </w:tc>
      </w:tr>
      <w:tr w:rsidR="00B4714A" w:rsidRPr="00277F5E" w14:paraId="509E01D8" w14:textId="77777777" w:rsidTr="00B4714A">
        <w:tc>
          <w:tcPr>
            <w:tcW w:w="1834" w:type="dxa"/>
            <w:shd w:val="clear" w:color="auto" w:fill="BDD6EE" w:themeFill="accent1" w:themeFillTint="66"/>
          </w:tcPr>
          <w:p w14:paraId="26877D7F" w14:textId="77777777" w:rsidR="00B4714A" w:rsidRPr="00277F5E" w:rsidRDefault="00B4714A" w:rsidP="00943607">
            <w:r w:rsidRPr="00277F5E">
              <w:t>Inwinning</w:t>
            </w:r>
          </w:p>
        </w:tc>
        <w:tc>
          <w:tcPr>
            <w:tcW w:w="7346" w:type="dxa"/>
            <w:shd w:val="clear" w:color="auto" w:fill="DEEAF6" w:themeFill="accent1" w:themeFillTint="33"/>
          </w:tcPr>
          <w:p w14:paraId="36E64249" w14:textId="77777777" w:rsidR="00B4714A" w:rsidRDefault="00B4714A" w:rsidP="00943607">
            <w:r w:rsidRPr="00277F5E">
              <w:t>Functie voor het ophalen van informatieobjecten uit een bron</w:t>
            </w:r>
          </w:p>
          <w:p w14:paraId="3A89B97F" w14:textId="77777777" w:rsidR="00B4714A" w:rsidRPr="00277F5E" w:rsidRDefault="00B4714A" w:rsidP="00943607">
            <w:r>
              <w:t>Meestal is dit ophalen uit een (gekoppelde) externe bron. Hier wordt geen ontvangst mee bedoeld</w:t>
            </w:r>
          </w:p>
        </w:tc>
      </w:tr>
      <w:tr w:rsidR="00B4714A" w:rsidRPr="00277F5E" w14:paraId="7134A54D" w14:textId="77777777" w:rsidTr="00B4714A">
        <w:tc>
          <w:tcPr>
            <w:tcW w:w="1834" w:type="dxa"/>
            <w:shd w:val="clear" w:color="auto" w:fill="BDD6EE" w:themeFill="accent1" w:themeFillTint="66"/>
          </w:tcPr>
          <w:p w14:paraId="58B9AAF6" w14:textId="77777777" w:rsidR="00B4714A" w:rsidRPr="00277F5E" w:rsidRDefault="00B4714A" w:rsidP="00943607">
            <w:r w:rsidRPr="00277F5E">
              <w:t>Ondertekening</w:t>
            </w:r>
          </w:p>
        </w:tc>
        <w:tc>
          <w:tcPr>
            <w:tcW w:w="7346" w:type="dxa"/>
            <w:shd w:val="clear" w:color="auto" w:fill="DEEAF6" w:themeFill="accent1" w:themeFillTint="33"/>
          </w:tcPr>
          <w:p w14:paraId="65E083FE" w14:textId="68485651" w:rsidR="00374E20" w:rsidRPr="00277F5E" w:rsidRDefault="00B4714A" w:rsidP="00943607">
            <w:r w:rsidRPr="00277F5E">
              <w:t>Functie voor het digitaal waarmerken of ondertekenen van informatieobjecten</w:t>
            </w:r>
          </w:p>
        </w:tc>
      </w:tr>
      <w:tr w:rsidR="00B4714A" w:rsidRPr="00277F5E" w14:paraId="0601237E" w14:textId="77777777" w:rsidTr="00B4714A">
        <w:tc>
          <w:tcPr>
            <w:tcW w:w="1834" w:type="dxa"/>
            <w:shd w:val="clear" w:color="auto" w:fill="BDD6EE" w:themeFill="accent1" w:themeFillTint="66"/>
          </w:tcPr>
          <w:p w14:paraId="0BB668BF" w14:textId="77777777" w:rsidR="00B4714A" w:rsidRPr="00277F5E" w:rsidRDefault="00B4714A" w:rsidP="00943607">
            <w:r w:rsidRPr="00277F5E">
              <w:t>Verwijdering</w:t>
            </w:r>
          </w:p>
        </w:tc>
        <w:tc>
          <w:tcPr>
            <w:tcW w:w="7346" w:type="dxa"/>
            <w:shd w:val="clear" w:color="auto" w:fill="DEEAF6" w:themeFill="accent1" w:themeFillTint="33"/>
          </w:tcPr>
          <w:p w14:paraId="6FDD1EE8" w14:textId="77777777" w:rsidR="00B4714A" w:rsidRDefault="00B4714A" w:rsidP="00943607">
            <w:r w:rsidRPr="00277F5E">
              <w:t>Functie voor het onherstelbaar verwijderen van informatieobjecten</w:t>
            </w:r>
            <w:r>
              <w:t>.</w:t>
            </w:r>
          </w:p>
          <w:p w14:paraId="10F79AFA" w14:textId="77777777" w:rsidR="00B4714A" w:rsidRPr="00277F5E" w:rsidRDefault="00B4714A" w:rsidP="00943607">
            <w:r>
              <w:t>Nadat de informatieobjecten zijn vastgelegd en bewaard. Hiermee wordt niet het verwijderen van en tijdens creaties bedoeld.</w:t>
            </w:r>
          </w:p>
        </w:tc>
      </w:tr>
      <w:tr w:rsidR="00B4714A" w:rsidRPr="00277F5E" w14:paraId="4572A00A" w14:textId="77777777" w:rsidTr="00B4714A">
        <w:tc>
          <w:tcPr>
            <w:tcW w:w="1834" w:type="dxa"/>
            <w:shd w:val="clear" w:color="auto" w:fill="BDD6EE" w:themeFill="accent1" w:themeFillTint="66"/>
          </w:tcPr>
          <w:p w14:paraId="74BB54DD" w14:textId="77777777" w:rsidR="00B4714A" w:rsidRPr="00277F5E" w:rsidRDefault="00B4714A" w:rsidP="00943607">
            <w:r w:rsidRPr="00277F5E">
              <w:t>Opslag</w:t>
            </w:r>
          </w:p>
        </w:tc>
        <w:tc>
          <w:tcPr>
            <w:tcW w:w="7346" w:type="dxa"/>
            <w:shd w:val="clear" w:color="auto" w:fill="DEEAF6" w:themeFill="accent1" w:themeFillTint="33"/>
          </w:tcPr>
          <w:p w14:paraId="51B3960C" w14:textId="77777777" w:rsidR="00B4714A" w:rsidRDefault="00B4714A" w:rsidP="00943607">
            <w:r w:rsidRPr="00277F5E">
              <w:t>Functie voor het opslaan van informatieobjecten</w:t>
            </w:r>
          </w:p>
          <w:p w14:paraId="71903C9F" w14:textId="77777777" w:rsidR="00B4714A" w:rsidRPr="00277F5E" w:rsidRDefault="00B4714A" w:rsidP="00943607">
            <w:r>
              <w:t>Systeem en proces bepaald meestal (vooraf) waar de informatie wordt opgeslagen en niet de gebruiker</w:t>
            </w:r>
          </w:p>
        </w:tc>
      </w:tr>
      <w:tr w:rsidR="00B4714A" w:rsidRPr="00277F5E" w14:paraId="2E44A3A1" w14:textId="77777777" w:rsidTr="00B4714A">
        <w:tc>
          <w:tcPr>
            <w:tcW w:w="1834" w:type="dxa"/>
            <w:shd w:val="clear" w:color="auto" w:fill="BDD6EE" w:themeFill="accent1" w:themeFillTint="66"/>
          </w:tcPr>
          <w:p w14:paraId="59727846" w14:textId="77777777" w:rsidR="00B4714A" w:rsidRPr="00277F5E" w:rsidRDefault="00B4714A" w:rsidP="00943607">
            <w:r w:rsidRPr="00277F5E">
              <w:t>Fixatie</w:t>
            </w:r>
          </w:p>
        </w:tc>
        <w:tc>
          <w:tcPr>
            <w:tcW w:w="7346" w:type="dxa"/>
            <w:shd w:val="clear" w:color="auto" w:fill="DEEAF6" w:themeFill="accent1" w:themeFillTint="33"/>
          </w:tcPr>
          <w:p w14:paraId="177CEAB3" w14:textId="14939EA5" w:rsidR="00B4714A" w:rsidRPr="00277F5E" w:rsidRDefault="00B4714A" w:rsidP="00943607">
            <w:r w:rsidRPr="00277F5E">
              <w:t>Functie voor het vastzetten/verankeren van informatieobjecten zodat deze niet meer gewijzigd kunnen worden</w:t>
            </w:r>
            <w:r w:rsidR="00374E20">
              <w:t>.</w:t>
            </w:r>
          </w:p>
        </w:tc>
      </w:tr>
      <w:tr w:rsidR="00B4714A" w:rsidRPr="00277F5E" w14:paraId="00651786" w14:textId="77777777" w:rsidTr="00B4714A">
        <w:tc>
          <w:tcPr>
            <w:tcW w:w="1834" w:type="dxa"/>
            <w:shd w:val="clear" w:color="auto" w:fill="BDD6EE" w:themeFill="accent1" w:themeFillTint="66"/>
          </w:tcPr>
          <w:p w14:paraId="1A461FB9" w14:textId="77777777" w:rsidR="00B4714A" w:rsidRPr="00277F5E" w:rsidRDefault="00B4714A" w:rsidP="00943607">
            <w:r w:rsidRPr="00277F5E">
              <w:t>Conversie</w:t>
            </w:r>
          </w:p>
        </w:tc>
        <w:tc>
          <w:tcPr>
            <w:tcW w:w="7346" w:type="dxa"/>
            <w:shd w:val="clear" w:color="auto" w:fill="DEEAF6" w:themeFill="accent1" w:themeFillTint="33"/>
          </w:tcPr>
          <w:p w14:paraId="0F3BB395" w14:textId="77777777" w:rsidR="00B4714A" w:rsidRPr="00277F5E" w:rsidRDefault="00B4714A" w:rsidP="00943607">
            <w:r w:rsidRPr="00277F5E">
              <w:t>Functie voor het omzetten van informatieobjecten in een andere vorm</w:t>
            </w:r>
          </w:p>
        </w:tc>
      </w:tr>
      <w:tr w:rsidR="00B4714A" w:rsidRPr="00277F5E" w14:paraId="5B819C65" w14:textId="77777777" w:rsidTr="00B4714A">
        <w:tc>
          <w:tcPr>
            <w:tcW w:w="1834" w:type="dxa"/>
            <w:shd w:val="clear" w:color="auto" w:fill="BDD6EE" w:themeFill="accent1" w:themeFillTint="66"/>
          </w:tcPr>
          <w:p w14:paraId="41443297" w14:textId="77777777" w:rsidR="00B4714A" w:rsidRPr="00277F5E" w:rsidRDefault="00B4714A" w:rsidP="00943607">
            <w:r w:rsidRPr="00277F5E">
              <w:t>Zoeken</w:t>
            </w:r>
          </w:p>
        </w:tc>
        <w:tc>
          <w:tcPr>
            <w:tcW w:w="7346" w:type="dxa"/>
            <w:shd w:val="clear" w:color="auto" w:fill="DEEAF6" w:themeFill="accent1" w:themeFillTint="33"/>
          </w:tcPr>
          <w:p w14:paraId="7055AC90" w14:textId="77777777" w:rsidR="00B4714A" w:rsidRDefault="00B4714A" w:rsidP="00943607">
            <w:r w:rsidRPr="00277F5E">
              <w:t>Functie voor het zoeken en vinden van informatieobjecten</w:t>
            </w:r>
            <w:r>
              <w:t>.</w:t>
            </w:r>
          </w:p>
          <w:p w14:paraId="21C9F325" w14:textId="77777777" w:rsidR="00B4714A" w:rsidRPr="00277F5E" w:rsidRDefault="00B4714A" w:rsidP="00943607">
            <w:r>
              <w:lastRenderedPageBreak/>
              <w:t>Hiermee wordt bedoeld een functie voor het maken van een index, thesauri of andere vorm over welke en waar je bepaalde informatieobjecten kan vinden voor hergebruik</w:t>
            </w:r>
          </w:p>
        </w:tc>
      </w:tr>
      <w:tr w:rsidR="00B4714A" w:rsidRPr="00277F5E" w14:paraId="12736E06" w14:textId="77777777" w:rsidTr="00B4714A">
        <w:tc>
          <w:tcPr>
            <w:tcW w:w="1834" w:type="dxa"/>
            <w:shd w:val="clear" w:color="auto" w:fill="BDD6EE" w:themeFill="accent1" w:themeFillTint="66"/>
          </w:tcPr>
          <w:p w14:paraId="1659B33F" w14:textId="77777777" w:rsidR="00B4714A" w:rsidRPr="00277F5E" w:rsidRDefault="00B4714A" w:rsidP="00943607">
            <w:r w:rsidRPr="00277F5E">
              <w:lastRenderedPageBreak/>
              <w:t xml:space="preserve">Representatie </w:t>
            </w:r>
          </w:p>
        </w:tc>
        <w:tc>
          <w:tcPr>
            <w:tcW w:w="7346" w:type="dxa"/>
            <w:shd w:val="clear" w:color="auto" w:fill="DEEAF6" w:themeFill="accent1" w:themeFillTint="33"/>
          </w:tcPr>
          <w:p w14:paraId="0A3E4897" w14:textId="77777777" w:rsidR="00B4714A" w:rsidRPr="00277F5E" w:rsidRDefault="00B4714A" w:rsidP="00943607">
            <w:r w:rsidRPr="00277F5E">
              <w:t>Functie voor het tonen van informatieobjecten</w:t>
            </w:r>
          </w:p>
        </w:tc>
      </w:tr>
      <w:tr w:rsidR="00B4714A" w:rsidRPr="00277F5E" w14:paraId="62C8135B" w14:textId="77777777" w:rsidTr="00B4714A">
        <w:tc>
          <w:tcPr>
            <w:tcW w:w="1834" w:type="dxa"/>
            <w:shd w:val="clear" w:color="auto" w:fill="BDD6EE" w:themeFill="accent1" w:themeFillTint="66"/>
          </w:tcPr>
          <w:p w14:paraId="71509340" w14:textId="77777777" w:rsidR="00B4714A" w:rsidRPr="00277F5E" w:rsidRDefault="00B4714A" w:rsidP="00943607">
            <w:r w:rsidRPr="00277F5E">
              <w:t>Uitwisseling</w:t>
            </w:r>
          </w:p>
        </w:tc>
        <w:tc>
          <w:tcPr>
            <w:tcW w:w="7346" w:type="dxa"/>
            <w:shd w:val="clear" w:color="auto" w:fill="DEEAF6" w:themeFill="accent1" w:themeFillTint="33"/>
          </w:tcPr>
          <w:p w14:paraId="3B2DEB7F" w14:textId="77777777" w:rsidR="00B4714A" w:rsidRDefault="00B4714A" w:rsidP="00943607">
            <w:r w:rsidRPr="00277F5E">
              <w:t>Functie voor het delen van informatieobjecten</w:t>
            </w:r>
          </w:p>
          <w:p w14:paraId="6BB03AAE" w14:textId="77777777" w:rsidR="00B4714A" w:rsidRPr="00277F5E" w:rsidRDefault="00B4714A" w:rsidP="00943607">
            <w:r>
              <w:t xml:space="preserve">Van point </w:t>
            </w:r>
            <w:proofErr w:type="spellStart"/>
            <w:r>
              <w:t>to</w:t>
            </w:r>
            <w:proofErr w:type="spellEnd"/>
            <w:r>
              <w:t xml:space="preserve"> point of neerzetten op een plaats waar een gebruiker de informatie kan inwinnen</w:t>
            </w:r>
          </w:p>
        </w:tc>
      </w:tr>
      <w:tr w:rsidR="00B4714A" w:rsidRPr="00277F5E" w14:paraId="31641996" w14:textId="77777777" w:rsidTr="00B4714A">
        <w:tc>
          <w:tcPr>
            <w:tcW w:w="1834" w:type="dxa"/>
            <w:shd w:val="clear" w:color="auto" w:fill="BDD6EE" w:themeFill="accent1" w:themeFillTint="66"/>
          </w:tcPr>
          <w:p w14:paraId="309B6480" w14:textId="77777777" w:rsidR="00B4714A" w:rsidRPr="00277F5E" w:rsidRDefault="00B4714A" w:rsidP="00943607">
            <w:r>
              <w:t>Maskering</w:t>
            </w:r>
            <w:r w:rsidRPr="00277F5E">
              <w:t xml:space="preserve"> </w:t>
            </w:r>
          </w:p>
        </w:tc>
        <w:tc>
          <w:tcPr>
            <w:tcW w:w="7346" w:type="dxa"/>
            <w:shd w:val="clear" w:color="auto" w:fill="DEEAF6" w:themeFill="accent1" w:themeFillTint="33"/>
          </w:tcPr>
          <w:p w14:paraId="546B3F31" w14:textId="77777777" w:rsidR="00B4714A" w:rsidRPr="00277F5E" w:rsidRDefault="00B4714A" w:rsidP="00943607">
            <w:r w:rsidRPr="00277F5E">
              <w:t xml:space="preserve">Functie voor het onzichtbaar maken van </w:t>
            </w:r>
            <w:r>
              <w:t>subjectgegevens (</w:t>
            </w:r>
            <w:r w:rsidRPr="00277F5E">
              <w:t>persoonsgegevens</w:t>
            </w:r>
            <w:r>
              <w:t>)</w:t>
            </w:r>
            <w:r w:rsidRPr="00277F5E">
              <w:t xml:space="preserve"> </w:t>
            </w:r>
            <w:r>
              <w:t xml:space="preserve">of objectgegevens </w:t>
            </w:r>
            <w:r w:rsidRPr="00277F5E">
              <w:t>in informatieobjecten</w:t>
            </w:r>
          </w:p>
        </w:tc>
      </w:tr>
      <w:tr w:rsidR="00B4714A" w:rsidRPr="00277F5E" w14:paraId="0A1A7031" w14:textId="77777777" w:rsidTr="00B4714A">
        <w:tc>
          <w:tcPr>
            <w:tcW w:w="1834" w:type="dxa"/>
            <w:shd w:val="clear" w:color="auto" w:fill="BDD6EE" w:themeFill="accent1" w:themeFillTint="66"/>
          </w:tcPr>
          <w:p w14:paraId="683660B6" w14:textId="77777777" w:rsidR="00B4714A" w:rsidRPr="00277F5E" w:rsidRDefault="00B4714A" w:rsidP="00943607">
            <w:r w:rsidRPr="00277F5E">
              <w:t>Public</w:t>
            </w:r>
            <w:r>
              <w:t>atie</w:t>
            </w:r>
          </w:p>
        </w:tc>
        <w:tc>
          <w:tcPr>
            <w:tcW w:w="7346" w:type="dxa"/>
            <w:shd w:val="clear" w:color="auto" w:fill="DEEAF6" w:themeFill="accent1" w:themeFillTint="33"/>
          </w:tcPr>
          <w:p w14:paraId="0929226D" w14:textId="77777777" w:rsidR="00B4714A" w:rsidRPr="00277F5E" w:rsidRDefault="00B4714A" w:rsidP="00943607">
            <w:r w:rsidRPr="00277F5E">
              <w:t>Functie voor het openbaar maken van informatieobjecten</w:t>
            </w:r>
          </w:p>
        </w:tc>
      </w:tr>
      <w:tr w:rsidR="00B4714A" w:rsidRPr="00277F5E" w14:paraId="73EBD674" w14:textId="77777777" w:rsidTr="00B4714A">
        <w:tc>
          <w:tcPr>
            <w:tcW w:w="1834" w:type="dxa"/>
            <w:shd w:val="clear" w:color="auto" w:fill="BDD6EE" w:themeFill="accent1" w:themeFillTint="66"/>
          </w:tcPr>
          <w:p w14:paraId="334EAAF1" w14:textId="77777777" w:rsidR="00B4714A" w:rsidRPr="00277F5E" w:rsidRDefault="00B4714A" w:rsidP="00943607">
            <w:r w:rsidRPr="00277F5E">
              <w:t>Validatie</w:t>
            </w:r>
          </w:p>
        </w:tc>
        <w:tc>
          <w:tcPr>
            <w:tcW w:w="7346" w:type="dxa"/>
            <w:shd w:val="clear" w:color="auto" w:fill="DEEAF6" w:themeFill="accent1" w:themeFillTint="33"/>
          </w:tcPr>
          <w:p w14:paraId="6C00C0A8" w14:textId="77777777" w:rsidR="00B4714A" w:rsidRPr="00277F5E" w:rsidRDefault="00B4714A" w:rsidP="00943607">
            <w:r w:rsidRPr="00277F5E">
              <w:t>Functie voor het controleren, verifiëren van informatieobjecten op juistheid en volledigheid</w:t>
            </w:r>
          </w:p>
        </w:tc>
      </w:tr>
      <w:tr w:rsidR="00B4714A" w:rsidRPr="00277F5E" w14:paraId="473DC9E4" w14:textId="77777777" w:rsidTr="00B4714A">
        <w:tc>
          <w:tcPr>
            <w:tcW w:w="1834" w:type="dxa"/>
            <w:shd w:val="clear" w:color="auto" w:fill="BDD6EE" w:themeFill="accent1" w:themeFillTint="66"/>
          </w:tcPr>
          <w:p w14:paraId="398F0FDC" w14:textId="4EE33808" w:rsidR="00B4714A" w:rsidRPr="00277F5E" w:rsidRDefault="00B4714A" w:rsidP="00D25682">
            <w:r w:rsidRPr="00277F5E">
              <w:t>Meta</w:t>
            </w:r>
            <w:r w:rsidR="00D25682">
              <w:t>gegevens</w:t>
            </w:r>
            <w:r w:rsidRPr="00277F5E">
              <w:t>beheer</w:t>
            </w:r>
          </w:p>
        </w:tc>
        <w:tc>
          <w:tcPr>
            <w:tcW w:w="7346" w:type="dxa"/>
            <w:shd w:val="clear" w:color="auto" w:fill="DEEAF6" w:themeFill="accent1" w:themeFillTint="33"/>
          </w:tcPr>
          <w:p w14:paraId="40603E2B" w14:textId="616E107F" w:rsidR="00B4714A" w:rsidRPr="00277F5E" w:rsidRDefault="00B4714A" w:rsidP="00D25682">
            <w:r>
              <w:t>F</w:t>
            </w:r>
            <w:r w:rsidRPr="00277F5E">
              <w:t>unctie voor het aanbrengen, wijzigen en actualiseren van meta</w:t>
            </w:r>
            <w:r w:rsidR="00D25682">
              <w:t>gegevens</w:t>
            </w:r>
          </w:p>
        </w:tc>
      </w:tr>
      <w:tr w:rsidR="00B4714A" w:rsidRPr="00277F5E" w14:paraId="652CDE6C" w14:textId="77777777" w:rsidTr="00B4714A">
        <w:tc>
          <w:tcPr>
            <w:tcW w:w="1834" w:type="dxa"/>
            <w:shd w:val="clear" w:color="auto" w:fill="BDD6EE" w:themeFill="accent1" w:themeFillTint="66"/>
          </w:tcPr>
          <w:p w14:paraId="28771A9A" w14:textId="77777777" w:rsidR="00B4714A" w:rsidRPr="00277F5E" w:rsidRDefault="00B4714A" w:rsidP="00943607">
            <w:r w:rsidRPr="00277F5E">
              <w:t>Toegangsbeheer</w:t>
            </w:r>
          </w:p>
        </w:tc>
        <w:tc>
          <w:tcPr>
            <w:tcW w:w="7346" w:type="dxa"/>
            <w:shd w:val="clear" w:color="auto" w:fill="DEEAF6" w:themeFill="accent1" w:themeFillTint="33"/>
          </w:tcPr>
          <w:p w14:paraId="7C445990" w14:textId="77777777" w:rsidR="00B4714A" w:rsidRPr="00277F5E" w:rsidRDefault="00B4714A" w:rsidP="00943607">
            <w:r w:rsidRPr="00277F5E">
              <w:t>Functie voor het autoriseren en authentiseren van toegang tot en bewerken van informatieobjecten</w:t>
            </w:r>
          </w:p>
        </w:tc>
      </w:tr>
      <w:tr w:rsidR="00B4714A" w:rsidRPr="00277F5E" w14:paraId="1470F710" w14:textId="77777777" w:rsidTr="00B4714A">
        <w:tc>
          <w:tcPr>
            <w:tcW w:w="1834" w:type="dxa"/>
            <w:shd w:val="clear" w:color="auto" w:fill="BDD6EE" w:themeFill="accent1" w:themeFillTint="66"/>
          </w:tcPr>
          <w:p w14:paraId="055DD1D8" w14:textId="77777777" w:rsidR="00B4714A" w:rsidRPr="00277F5E" w:rsidRDefault="00B4714A" w:rsidP="00943607">
            <w:r w:rsidRPr="00277F5E">
              <w:t>Verantwoording</w:t>
            </w:r>
          </w:p>
        </w:tc>
        <w:tc>
          <w:tcPr>
            <w:tcW w:w="7346" w:type="dxa"/>
            <w:shd w:val="clear" w:color="auto" w:fill="DEEAF6" w:themeFill="accent1" w:themeFillTint="33"/>
          </w:tcPr>
          <w:p w14:paraId="7B480190" w14:textId="77777777" w:rsidR="00B4714A" w:rsidRPr="00277F5E" w:rsidRDefault="00B4714A" w:rsidP="00943607">
            <w:r w:rsidRPr="00277F5E">
              <w:t>Functie voor het rechtvaardigen van het beheer en gebruik van informatieobjecten</w:t>
            </w:r>
          </w:p>
        </w:tc>
      </w:tr>
    </w:tbl>
    <w:p w14:paraId="7560D22D" w14:textId="52A14038" w:rsidR="00EE5738" w:rsidRDefault="00EE5738" w:rsidP="00EE5738"/>
    <w:p w14:paraId="470B550A" w14:textId="66ECA963" w:rsidR="006B7612" w:rsidRDefault="006B7612" w:rsidP="006B7612">
      <w:r>
        <w:t xml:space="preserve">Onderstaande afbeelding is een weergave van de functies die door de DUTO-processen </w:t>
      </w:r>
      <w:r w:rsidR="00D25682">
        <w:t xml:space="preserve">kunnen </w:t>
      </w:r>
      <w:r>
        <w:t>worden gebruikt.</w:t>
      </w:r>
    </w:p>
    <w:p w14:paraId="18CA2B30" w14:textId="4141AB96" w:rsidR="006B7612" w:rsidRDefault="00D25682" w:rsidP="006B7612">
      <w:r>
        <w:rPr>
          <w:noProof/>
          <w:lang w:eastAsia="nl-NL"/>
        </w:rPr>
        <w:drawing>
          <wp:inline distT="0" distB="0" distL="0" distR="0" wp14:anchorId="0F6064CC" wp14:editId="0BAB9B50">
            <wp:extent cx="5947200" cy="385560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7200" cy="3855600"/>
                    </a:xfrm>
                    <a:prstGeom prst="rect">
                      <a:avLst/>
                    </a:prstGeom>
                  </pic:spPr>
                </pic:pic>
              </a:graphicData>
            </a:graphic>
          </wp:inline>
        </w:drawing>
      </w:r>
    </w:p>
    <w:p w14:paraId="3F16D0F4" w14:textId="5FB48C88" w:rsidR="006B7612" w:rsidRPr="00C022D3" w:rsidRDefault="006B7612" w:rsidP="006B7612">
      <w:pPr>
        <w:pStyle w:val="Kop2"/>
      </w:pPr>
      <w:r w:rsidRPr="00C022D3">
        <w:t>DUTO-</w:t>
      </w:r>
      <w:proofErr w:type="spellStart"/>
      <w:r>
        <w:t>service</w:t>
      </w:r>
      <w:r w:rsidR="008F65E2">
        <w:t>s</w:t>
      </w:r>
      <w:r w:rsidRPr="00C022D3">
        <w:t>model</w:t>
      </w:r>
      <w:proofErr w:type="spellEnd"/>
    </w:p>
    <w:p w14:paraId="10CB5EFF" w14:textId="77777777" w:rsidR="008F65E2" w:rsidRDefault="00C61C48" w:rsidP="00EE5738">
      <w:r>
        <w:t xml:space="preserve">Er wordt steeds meer gebruik gemaakt van servicegerichte architectuur. Daarom zijn de DUTO-functies ook aan </w:t>
      </w:r>
      <w:r w:rsidR="006B7612">
        <w:t>DUTO-</w:t>
      </w:r>
      <w:r>
        <w:t>services gekoppeld.</w:t>
      </w:r>
      <w:r w:rsidR="006B7612">
        <w:t xml:space="preserve"> </w:t>
      </w:r>
      <w:r w:rsidR="0070324D">
        <w:t xml:space="preserve">In de verdere uitwerking van de modeleisen gebruiken we dit verder </w:t>
      </w:r>
      <w:r w:rsidR="008F65E2">
        <w:t xml:space="preserve">niet </w:t>
      </w:r>
      <w:r w:rsidR="0070324D">
        <w:t>en zijn de modeleisen gekoppeld aan de DUTO-Functies en D</w:t>
      </w:r>
      <w:r w:rsidR="008F65E2">
        <w:t>UTO-</w:t>
      </w:r>
      <w:r w:rsidR="0070324D">
        <w:t xml:space="preserve">processen. </w:t>
      </w:r>
    </w:p>
    <w:p w14:paraId="2A32A866" w14:textId="3AF980B4" w:rsidR="00C61C48" w:rsidRDefault="006B7612" w:rsidP="00EE5738">
      <w:r>
        <w:t xml:space="preserve">Onderstaand </w:t>
      </w:r>
      <w:r w:rsidR="0070324D">
        <w:t>is een overzicht gegeven van de DUTO-</w:t>
      </w:r>
      <w:r>
        <w:t xml:space="preserve">services op de </w:t>
      </w:r>
      <w:proofErr w:type="spellStart"/>
      <w:r>
        <w:t>bedrijfslaag</w:t>
      </w:r>
      <w:proofErr w:type="spellEnd"/>
      <w:r>
        <w:t xml:space="preserve"> en vervolgens op de </w:t>
      </w:r>
      <w:proofErr w:type="spellStart"/>
      <w:r>
        <w:t>applicatielaag</w:t>
      </w:r>
      <w:proofErr w:type="spellEnd"/>
      <w:r>
        <w:t>.</w:t>
      </w:r>
    </w:p>
    <w:p w14:paraId="3D4B05C9" w14:textId="158F6BF2" w:rsidR="006B7612" w:rsidRDefault="0070324D" w:rsidP="00EE5738">
      <w:r>
        <w:rPr>
          <w:noProof/>
          <w:lang w:eastAsia="nl-NL"/>
        </w:rPr>
        <w:lastRenderedPageBreak/>
        <w:drawing>
          <wp:inline distT="0" distB="0" distL="0" distR="0" wp14:anchorId="3A2CE048" wp14:editId="17025F3C">
            <wp:extent cx="5846400" cy="1231200"/>
            <wp:effectExtent l="0" t="0" r="2540" b="762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46400" cy="1231200"/>
                    </a:xfrm>
                    <a:prstGeom prst="rect">
                      <a:avLst/>
                    </a:prstGeom>
                  </pic:spPr>
                </pic:pic>
              </a:graphicData>
            </a:graphic>
          </wp:inline>
        </w:drawing>
      </w:r>
    </w:p>
    <w:p w14:paraId="61332D5A" w14:textId="372114FF" w:rsidR="00C61C48" w:rsidRDefault="00C61C48" w:rsidP="000F18EB">
      <w:pPr>
        <w:ind w:left="-1134"/>
      </w:pPr>
      <w:r>
        <w:t xml:space="preserve"> </w:t>
      </w:r>
      <w:r>
        <w:rPr>
          <w:noProof/>
          <w:lang w:eastAsia="nl-NL"/>
        </w:rPr>
        <w:drawing>
          <wp:inline distT="0" distB="0" distL="0" distR="0" wp14:anchorId="10B039A2" wp14:editId="5BA22651">
            <wp:extent cx="7174282" cy="2781300"/>
            <wp:effectExtent l="0" t="0" r="762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207895" cy="2794331"/>
                    </a:xfrm>
                    <a:prstGeom prst="rect">
                      <a:avLst/>
                    </a:prstGeom>
                  </pic:spPr>
                </pic:pic>
              </a:graphicData>
            </a:graphic>
          </wp:inline>
        </w:drawing>
      </w:r>
    </w:p>
    <w:p w14:paraId="62C3EF23" w14:textId="77777777" w:rsidR="00C80129" w:rsidRDefault="00C80129" w:rsidP="00C80129">
      <w:pPr>
        <w:pStyle w:val="Kop1"/>
      </w:pPr>
      <w:r>
        <w:t>Randvoorwaarden</w:t>
      </w:r>
    </w:p>
    <w:p w14:paraId="11B9FDFD" w14:textId="77777777" w:rsidR="00C80129" w:rsidRDefault="00C80129" w:rsidP="00C80129">
      <w:r>
        <w:t>Voor de inrichting van de DUTO-functies geldt een aantal generieke randvoorwaarden:</w:t>
      </w:r>
    </w:p>
    <w:p w14:paraId="27519872" w14:textId="77777777" w:rsidR="00C80129" w:rsidRPr="00F92BD9" w:rsidRDefault="00C80129" w:rsidP="00C80129">
      <w:pPr>
        <w:pStyle w:val="Lijstalinea"/>
        <w:numPr>
          <w:ilvl w:val="0"/>
          <w:numId w:val="2"/>
        </w:numPr>
        <w:rPr>
          <w:rFonts w:cstheme="minorHAnsi"/>
          <w:bCs/>
        </w:rPr>
      </w:pPr>
      <w:r w:rsidRPr="00F92BD9">
        <w:rPr>
          <w:rFonts w:cstheme="minorHAnsi"/>
          <w:bCs/>
        </w:rPr>
        <w:t xml:space="preserve">Er is beleid met betrekking tot </w:t>
      </w:r>
      <w:r>
        <w:rPr>
          <w:rFonts w:cstheme="minorHAnsi"/>
          <w:bCs/>
        </w:rPr>
        <w:t>duurzame toegankelijkheid</w:t>
      </w:r>
      <w:r w:rsidRPr="00F92BD9">
        <w:rPr>
          <w:rFonts w:cstheme="minorHAnsi"/>
          <w:bCs/>
        </w:rPr>
        <w:t xml:space="preserve"> d</w:t>
      </w:r>
      <w:r>
        <w:rPr>
          <w:rFonts w:cstheme="minorHAnsi"/>
          <w:bCs/>
        </w:rPr>
        <w:t>at</w:t>
      </w:r>
      <w:r w:rsidRPr="00F92BD9">
        <w:rPr>
          <w:rFonts w:cstheme="minorHAnsi"/>
          <w:bCs/>
        </w:rPr>
        <w:t xml:space="preserve"> is vastgesteld en verankerd binnen de organisatie</w:t>
      </w:r>
      <w:r>
        <w:rPr>
          <w:rFonts w:cstheme="minorHAnsi"/>
          <w:bCs/>
        </w:rPr>
        <w:t>.</w:t>
      </w:r>
    </w:p>
    <w:p w14:paraId="00521679" w14:textId="77777777" w:rsidR="00C80129" w:rsidRPr="00F92BD9" w:rsidRDefault="00C80129" w:rsidP="00C80129">
      <w:pPr>
        <w:pStyle w:val="Lijstalinea"/>
        <w:numPr>
          <w:ilvl w:val="0"/>
          <w:numId w:val="2"/>
        </w:numPr>
        <w:rPr>
          <w:rFonts w:cstheme="minorHAnsi"/>
          <w:bCs/>
        </w:rPr>
      </w:pPr>
      <w:r w:rsidRPr="00F92BD9">
        <w:rPr>
          <w:rFonts w:cstheme="minorHAnsi"/>
          <w:bCs/>
        </w:rPr>
        <w:t xml:space="preserve">Bevoegdheden, rollen en verantwoordelijkheden en beleid rondom </w:t>
      </w:r>
      <w:r>
        <w:rPr>
          <w:rFonts w:cstheme="minorHAnsi"/>
          <w:bCs/>
        </w:rPr>
        <w:t>duurzame toegankelijkheid</w:t>
      </w:r>
      <w:r w:rsidRPr="00F92BD9">
        <w:rPr>
          <w:rFonts w:cstheme="minorHAnsi"/>
          <w:bCs/>
        </w:rPr>
        <w:t xml:space="preserve"> zijn belegd. </w:t>
      </w:r>
    </w:p>
    <w:p w14:paraId="6834D741" w14:textId="77777777" w:rsidR="00C80129" w:rsidRPr="00F92BD9" w:rsidRDefault="00C80129" w:rsidP="00C80129">
      <w:pPr>
        <w:pStyle w:val="Lijstalinea"/>
        <w:numPr>
          <w:ilvl w:val="0"/>
          <w:numId w:val="2"/>
        </w:numPr>
        <w:rPr>
          <w:rFonts w:cstheme="minorHAnsi"/>
          <w:bCs/>
        </w:rPr>
      </w:pPr>
      <w:r w:rsidRPr="00F92BD9">
        <w:rPr>
          <w:rFonts w:cstheme="minorHAnsi"/>
          <w:bCs/>
        </w:rPr>
        <w:t xml:space="preserve">Er is een (architectuur)overzicht van informatieobjecten, processen, informatiesystemen en hun samenhang. </w:t>
      </w:r>
      <w:r>
        <w:rPr>
          <w:rFonts w:cstheme="minorHAnsi"/>
          <w:bCs/>
        </w:rPr>
        <w:t>Dit overzicht wordt bijgewerkt wanneer er nieuwe ontwerpkeuzes worden gemaakt.</w:t>
      </w:r>
    </w:p>
    <w:p w14:paraId="4E32B467" w14:textId="77777777" w:rsidR="00C80129" w:rsidRPr="00F92BD9" w:rsidRDefault="00C80129" w:rsidP="00C80129">
      <w:pPr>
        <w:pStyle w:val="Lijstalinea"/>
        <w:numPr>
          <w:ilvl w:val="0"/>
          <w:numId w:val="2"/>
        </w:numPr>
        <w:rPr>
          <w:rFonts w:cstheme="minorHAnsi"/>
        </w:rPr>
      </w:pPr>
      <w:r w:rsidRPr="00F92BD9">
        <w:rPr>
          <w:rFonts w:cstheme="minorHAnsi"/>
        </w:rPr>
        <w:t>Er is een procedure voor vernietiging inclusief protocol voor wijze van vernietigen en wijze van verantwoorden.</w:t>
      </w:r>
    </w:p>
    <w:p w14:paraId="0A3FA8D7" w14:textId="77777777" w:rsidR="00C80129" w:rsidRDefault="00C80129" w:rsidP="00C80129">
      <w:pPr>
        <w:pStyle w:val="Lijstalinea"/>
        <w:numPr>
          <w:ilvl w:val="0"/>
          <w:numId w:val="2"/>
        </w:numPr>
        <w:rPr>
          <w:rFonts w:cstheme="minorHAnsi"/>
        </w:rPr>
      </w:pPr>
      <w:r w:rsidRPr="00F92BD9">
        <w:rPr>
          <w:rFonts w:cstheme="minorHAnsi"/>
        </w:rPr>
        <w:t xml:space="preserve">Er kan over </w:t>
      </w:r>
      <w:r>
        <w:rPr>
          <w:rFonts w:cstheme="minorHAnsi"/>
        </w:rPr>
        <w:t>duurzame toegankelijkheid worden verantwoord</w:t>
      </w:r>
      <w:r w:rsidRPr="00F92BD9">
        <w:rPr>
          <w:rFonts w:cstheme="minorHAnsi"/>
        </w:rPr>
        <w:t>, bijvoorbeeld: borging door toezicht in P&amp;C cyclus</w:t>
      </w:r>
      <w:r>
        <w:rPr>
          <w:rFonts w:cstheme="minorHAnsi"/>
        </w:rPr>
        <w:t>.</w:t>
      </w:r>
      <w:r w:rsidRPr="00F92BD9">
        <w:rPr>
          <w:rFonts w:cstheme="minorHAnsi"/>
        </w:rPr>
        <w:t xml:space="preserve"> </w:t>
      </w:r>
    </w:p>
    <w:p w14:paraId="473CF647" w14:textId="77777777" w:rsidR="00C80129" w:rsidRPr="00D64F61" w:rsidRDefault="00C80129" w:rsidP="00C80129">
      <w:r>
        <w:t>Naast generieke randvoorwaarden, kunnen er specifieke randvoorwaarden bestaan die bij een specifieke DUTO-functie horen. Deze specifieke randvoorwaarden zijn beschreven in het specifieke deel.</w:t>
      </w:r>
    </w:p>
    <w:p w14:paraId="08C0E826" w14:textId="77777777" w:rsidR="00F2396A" w:rsidRDefault="00353E69" w:rsidP="00F2396A">
      <w:pPr>
        <w:pStyle w:val="Kop1"/>
      </w:pPr>
      <w:r>
        <w:t>Implementatie</w:t>
      </w:r>
      <w:r w:rsidR="00F2396A">
        <w:t>patronen</w:t>
      </w:r>
    </w:p>
    <w:p w14:paraId="6B96B1EC" w14:textId="77777777" w:rsidR="00F2396A" w:rsidRDefault="00F2396A" w:rsidP="00F2396A">
      <w:pPr>
        <w:pStyle w:val="Kop2"/>
      </w:pPr>
      <w:r>
        <w:t xml:space="preserve">Algemene toelichting op de </w:t>
      </w:r>
      <w:r w:rsidR="00FC4E6F">
        <w:t>Implementatie</w:t>
      </w:r>
      <w:r>
        <w:t>patronen</w:t>
      </w:r>
    </w:p>
    <w:p w14:paraId="0F34ACD0" w14:textId="77777777" w:rsidR="00CA231A" w:rsidRDefault="00CA231A" w:rsidP="00F2396A">
      <w:pPr>
        <w:rPr>
          <w:bCs/>
        </w:rPr>
      </w:pPr>
      <w:bookmarkStart w:id="0" w:name="_Hlk107996961"/>
      <w:r>
        <w:rPr>
          <w:bCs/>
        </w:rPr>
        <w:t xml:space="preserve">Het doel van de patronen, is om te kunnen bepalen wanneer welke modeleisen van toepassing zijn. </w:t>
      </w:r>
    </w:p>
    <w:p w14:paraId="72D667A0" w14:textId="77777777" w:rsidR="00FC3045" w:rsidRDefault="00FC3045" w:rsidP="00F2396A">
      <w:pPr>
        <w:rPr>
          <w:bCs/>
        </w:rPr>
      </w:pPr>
      <w:r>
        <w:rPr>
          <w:bCs/>
        </w:rPr>
        <w:t>We kunnen een aantal varianten waarbinnen DUTO-functies zich kunne</w:t>
      </w:r>
      <w:r w:rsidR="00E34FBA">
        <w:rPr>
          <w:bCs/>
        </w:rPr>
        <w:t>n bevinden of worden ondersteunt:</w:t>
      </w:r>
    </w:p>
    <w:p w14:paraId="26524A94" w14:textId="77777777" w:rsidR="00FC3045" w:rsidRDefault="00CB6EB6" w:rsidP="00FC3045">
      <w:pPr>
        <w:pStyle w:val="Lijstalinea"/>
        <w:numPr>
          <w:ilvl w:val="0"/>
          <w:numId w:val="23"/>
        </w:numPr>
      </w:pPr>
      <w:r>
        <w:lastRenderedPageBreak/>
        <w:t>DUTO-functie opgenomen b</w:t>
      </w:r>
      <w:r w:rsidR="00FC3045" w:rsidRPr="00FC3045">
        <w:t xml:space="preserve">innen een specifieke </w:t>
      </w:r>
      <w:r w:rsidR="00E34FBA">
        <w:t>(</w:t>
      </w:r>
      <w:r w:rsidR="00FC3045" w:rsidRPr="00FC3045">
        <w:t>vak</w:t>
      </w:r>
      <w:r w:rsidR="00E34FBA">
        <w:t>)</w:t>
      </w:r>
      <w:r w:rsidR="00FC3045" w:rsidRPr="00FC3045">
        <w:t xml:space="preserve">applicatie die een stuk specifieke bedrijfsvoering functie of </w:t>
      </w:r>
      <w:r w:rsidR="00E34FBA">
        <w:t xml:space="preserve">specifiek </w:t>
      </w:r>
      <w:r w:rsidR="00FC3045" w:rsidRPr="00FC3045">
        <w:t>uitvoeringproces ondersteun</w:t>
      </w:r>
      <w:r w:rsidR="00FC3045">
        <w:t>t</w:t>
      </w:r>
      <w:r w:rsidR="00FC3045" w:rsidRPr="00FC3045">
        <w:t>. Meestal is dat binnen een specifieke afdeling of specifiek domein.</w:t>
      </w:r>
    </w:p>
    <w:p w14:paraId="3E03E782" w14:textId="77777777" w:rsidR="00560A45" w:rsidRDefault="005431D6" w:rsidP="00560A45">
      <w:pPr>
        <w:pStyle w:val="Lijstalinea"/>
      </w:pPr>
      <w:r>
        <w:object w:dxaOrig="2310" w:dyaOrig="1935" w14:anchorId="24BC29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9pt;height:1in;mso-position-vertical:absolute" o:ole="">
            <v:imagedata r:id="rId14" o:title=""/>
          </v:shape>
          <o:OLEObject Type="Embed" ProgID="Visio.Drawing.15" ShapeID="_x0000_i1025" DrawAspect="Content" ObjectID="_1742367613" r:id="rId15"/>
        </w:object>
      </w:r>
    </w:p>
    <w:p w14:paraId="36D5349A" w14:textId="77777777" w:rsidR="00FC3045" w:rsidRDefault="00CB6EB6" w:rsidP="00FC3045">
      <w:pPr>
        <w:pStyle w:val="Lijstalinea"/>
        <w:numPr>
          <w:ilvl w:val="0"/>
          <w:numId w:val="23"/>
        </w:numPr>
      </w:pPr>
      <w:r>
        <w:t>DUTO-functie opgenomen b</w:t>
      </w:r>
      <w:r w:rsidR="00FC3045">
        <w:t xml:space="preserve">innen een generieke </w:t>
      </w:r>
      <w:r w:rsidR="00E34FBA">
        <w:t>(</w:t>
      </w:r>
      <w:r w:rsidR="00FC3045">
        <w:t>concern</w:t>
      </w:r>
      <w:r w:rsidR="00E34FBA">
        <w:t>)</w:t>
      </w:r>
      <w:r w:rsidR="00FC3045">
        <w:t>applicatie</w:t>
      </w:r>
      <w:r w:rsidR="00CA2BF8">
        <w:t xml:space="preserve"> voor duurzame toegankelijkheid. Informatieobjecten worden in deze (concern)applicatie voor duurzame toegankelijkheid bewaard en beheerd.</w:t>
      </w:r>
    </w:p>
    <w:p w14:paraId="2C4FD1A3" w14:textId="77777777" w:rsidR="00560A45" w:rsidRDefault="005431D6" w:rsidP="00560A45">
      <w:pPr>
        <w:pStyle w:val="Lijstalinea"/>
      </w:pPr>
      <w:r>
        <w:object w:dxaOrig="6016" w:dyaOrig="1950" w14:anchorId="619D7A30">
          <v:shape id="_x0000_i1026" type="#_x0000_t75" style="width:225.2pt;height:1in" o:ole="">
            <v:imagedata r:id="rId16" o:title=""/>
          </v:shape>
          <o:OLEObject Type="Embed" ProgID="Visio.Drawing.15" ShapeID="_x0000_i1026" DrawAspect="Content" ObjectID="_1742367614" r:id="rId17"/>
        </w:object>
      </w:r>
    </w:p>
    <w:p w14:paraId="0D2A1DF4" w14:textId="77777777" w:rsidR="00B52585" w:rsidRDefault="00CB6EB6" w:rsidP="00FC3045">
      <w:pPr>
        <w:pStyle w:val="Lijstalinea"/>
        <w:numPr>
          <w:ilvl w:val="0"/>
          <w:numId w:val="23"/>
        </w:numPr>
      </w:pPr>
      <w:r>
        <w:t>DUTO-functie opgenomen b</w:t>
      </w:r>
      <w:r w:rsidR="00B52585">
        <w:t xml:space="preserve">innen een gemeenschappelijk component die een generieke DUTO-functionaliteit ondersteunt. Meestal is dit op basis van “open” </w:t>
      </w:r>
      <w:proofErr w:type="spellStart"/>
      <w:r w:rsidR="00B52585">
        <w:t>A</w:t>
      </w:r>
      <w:r w:rsidR="00E34FBA">
        <w:t>PI</w:t>
      </w:r>
      <w:r w:rsidR="00B52585">
        <w:t>’s</w:t>
      </w:r>
      <w:proofErr w:type="spellEnd"/>
      <w:r w:rsidR="00B52585">
        <w:t xml:space="preserve"> die elke organisatie </w:t>
      </w:r>
      <w:r>
        <w:t xml:space="preserve">of applicatie </w:t>
      </w:r>
      <w:r w:rsidR="00B52585">
        <w:t>kan gebruiken.</w:t>
      </w:r>
    </w:p>
    <w:p w14:paraId="23CBD4E9" w14:textId="77777777" w:rsidR="00E744A9" w:rsidRDefault="005431D6" w:rsidP="00E744A9">
      <w:pPr>
        <w:pStyle w:val="Lijstalinea"/>
      </w:pPr>
      <w:r>
        <w:object w:dxaOrig="9510" w:dyaOrig="1950" w14:anchorId="71656AE9">
          <v:shape id="_x0000_i1027" type="#_x0000_t75" style="width:354.15pt;height:1in" o:ole="">
            <v:imagedata r:id="rId18" o:title=""/>
          </v:shape>
          <o:OLEObject Type="Embed" ProgID="Visio.Drawing.15" ShapeID="_x0000_i1027" DrawAspect="Content" ObjectID="_1742367615" r:id="rId19"/>
        </w:object>
      </w:r>
    </w:p>
    <w:p w14:paraId="5DB3BC1E" w14:textId="77777777" w:rsidR="00560A45" w:rsidRDefault="00560A45" w:rsidP="00560A45">
      <w:pPr>
        <w:pStyle w:val="Lijstalinea"/>
      </w:pPr>
    </w:p>
    <w:p w14:paraId="5344C40E" w14:textId="77777777" w:rsidR="00E744A9" w:rsidRDefault="00E744A9" w:rsidP="00E744A9">
      <w:pPr>
        <w:pStyle w:val="Kop2"/>
      </w:pPr>
      <w:r>
        <w:t xml:space="preserve">Nadere toelichting op de </w:t>
      </w:r>
      <w:r w:rsidR="00FC4E6F">
        <w:t>Imple</w:t>
      </w:r>
      <w:r w:rsidR="003E673C">
        <w:t>me</w:t>
      </w:r>
      <w:r w:rsidR="00FC4E6F">
        <w:t>ntatie</w:t>
      </w:r>
      <w:r>
        <w:t>patronen</w:t>
      </w:r>
    </w:p>
    <w:p w14:paraId="10224247" w14:textId="77777777" w:rsidR="00476784" w:rsidRPr="00D36C67" w:rsidRDefault="002533B7" w:rsidP="003E673C">
      <w:r w:rsidRPr="00D36C67">
        <w:t xml:space="preserve">De patronen hebben betrekking op </w:t>
      </w:r>
      <w:r w:rsidR="00490D74">
        <w:t>de DUTO-functies binnen een applicatiecomponent</w:t>
      </w:r>
      <w:r w:rsidRPr="00D36C67">
        <w:t>. Dat betekent dat voor één informatiesysteem voor verschillende functionaliteiten verschillende patronen van toepassing kunnen zijn.</w:t>
      </w:r>
      <w:r w:rsidR="00CB6EB6">
        <w:t xml:space="preserve"> Daarnaast kan de</w:t>
      </w:r>
      <w:r w:rsidR="00476784">
        <w:t xml:space="preserve"> DUTO-functie opgebouwd zijn uit één of meerdere DUTO-functies.</w:t>
      </w:r>
    </w:p>
    <w:p w14:paraId="0D555492" w14:textId="77777777" w:rsidR="00D36C67" w:rsidRDefault="00F2396A" w:rsidP="006E541C">
      <w:r w:rsidRPr="002D1244">
        <w:rPr>
          <w:b/>
        </w:rPr>
        <w:t>Patroon 1:</w:t>
      </w:r>
      <w:r>
        <w:t xml:space="preserve"> </w:t>
      </w:r>
      <w:r w:rsidR="002A3D15">
        <w:t>De DUTO-functie is opgenomen binnen e</w:t>
      </w:r>
      <w:r w:rsidR="00B032F2">
        <w:t>en specifiek afgebakende (vak)applicatie, toepassing of systeem</w:t>
      </w:r>
      <w:r w:rsidR="00490D74">
        <w:t>.</w:t>
      </w:r>
      <w:r>
        <w:t xml:space="preserve"> </w:t>
      </w:r>
      <w:bookmarkStart w:id="1" w:name="_Hlk107238736"/>
      <w:r>
        <w:t>Dit kan bijvoorbeeld een zaaksysteem, een vergunningenapplicatie of een personeelssysteem zijn</w:t>
      </w:r>
      <w:bookmarkEnd w:id="1"/>
      <w:r w:rsidR="00B864CF">
        <w:t>.</w:t>
      </w:r>
    </w:p>
    <w:p w14:paraId="1D9A100D" w14:textId="77777777" w:rsidR="006E541C" w:rsidRDefault="006E541C" w:rsidP="006E541C">
      <w:r>
        <w:t xml:space="preserve">Bij keuze voor dit implementatiepatroon, worden de modeleisen voor de </w:t>
      </w:r>
      <w:r w:rsidR="00CB6EB6">
        <w:t xml:space="preserve">desbetreffende </w:t>
      </w:r>
      <w:r>
        <w:t>DUTO-functi</w:t>
      </w:r>
      <w:r w:rsidR="00490D74">
        <w:t>e</w:t>
      </w:r>
      <w:r w:rsidR="00CB6EB6">
        <w:t>s</w:t>
      </w:r>
      <w:r>
        <w:t xml:space="preserve"> dus meegenomen in de aanschaf</w:t>
      </w:r>
      <w:r w:rsidR="00661693">
        <w:t xml:space="preserve">, bouw </w:t>
      </w:r>
      <w:r>
        <w:t xml:space="preserve">en/of </w:t>
      </w:r>
      <w:r w:rsidR="00661693">
        <w:t>inrichting</w:t>
      </w:r>
      <w:r>
        <w:t xml:space="preserve"> van de specifiek afgebakende (vak)applicatie, toepassing of systeem.</w:t>
      </w:r>
    </w:p>
    <w:p w14:paraId="3A66803D" w14:textId="40F4CDD1" w:rsidR="000C04EB" w:rsidRDefault="00E10C17" w:rsidP="00F2396A">
      <w:r>
        <w:rPr>
          <w:noProof/>
          <w:lang w:eastAsia="nl-NL"/>
        </w:rPr>
        <w:lastRenderedPageBreak/>
        <w:drawing>
          <wp:inline distT="0" distB="0" distL="0" distR="0" wp14:anchorId="0A8892CA" wp14:editId="53C14DD0">
            <wp:extent cx="4165200" cy="3592800"/>
            <wp:effectExtent l="0" t="0" r="6985" b="825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165200" cy="3592800"/>
                    </a:xfrm>
                    <a:prstGeom prst="rect">
                      <a:avLst/>
                    </a:prstGeom>
                  </pic:spPr>
                </pic:pic>
              </a:graphicData>
            </a:graphic>
          </wp:inline>
        </w:drawing>
      </w:r>
      <w:r w:rsidR="00014B90" w:rsidRPr="00014B90">
        <w:rPr>
          <w:noProof/>
          <w:lang w:eastAsia="nl-NL"/>
        </w:rPr>
        <w:t xml:space="preserve"> </w:t>
      </w:r>
    </w:p>
    <w:p w14:paraId="095282E0" w14:textId="77777777" w:rsidR="007D6D6E" w:rsidRDefault="00F2396A" w:rsidP="00F2396A">
      <w:r w:rsidRPr="002D1244">
        <w:rPr>
          <w:b/>
        </w:rPr>
        <w:t>Patroon 2:</w:t>
      </w:r>
      <w:r>
        <w:t xml:space="preserve"> </w:t>
      </w:r>
      <w:bookmarkStart w:id="2" w:name="_Hlk107238787"/>
      <w:r w:rsidR="002B4E5D">
        <w:t>E</w:t>
      </w:r>
      <w:r>
        <w:t xml:space="preserve">en </w:t>
      </w:r>
      <w:r w:rsidR="00CB5F25">
        <w:t>specifiek afgebakende (vak)applicatie, toepassing of systeem die</w:t>
      </w:r>
      <w:r>
        <w:t xml:space="preserve"> de bedrijfsfunctie ondersteunt, maar niet de DUTO-functi</w:t>
      </w:r>
      <w:r w:rsidR="00CA2BF8">
        <w:t>e</w:t>
      </w:r>
      <w:r>
        <w:t xml:space="preserve">. </w:t>
      </w:r>
      <w:r w:rsidR="00B032F2">
        <w:t xml:space="preserve">De DUTO-functionaliteit bevindt zich in een generiek afgebakende applicatie, toepassing of systeem die de DUTO-functionaliteit generiek ondersteunt. </w:t>
      </w:r>
      <w:r w:rsidR="00622BDA">
        <w:t>Dit kan bijvoorbeeld een e-depot, DMS of RMA systeem zijn.</w:t>
      </w:r>
    </w:p>
    <w:p w14:paraId="3D736F44" w14:textId="77777777" w:rsidR="006E541C" w:rsidRDefault="006E541C" w:rsidP="00F2396A">
      <w:r>
        <w:t>Bij keuze voor dit implementatiepatroon, worden de modeleisen voor de DUTO-functionaliteit dus meegenomen in de aanschaf en/of bouw van de generiek afgebakende (concern) applicatie, toepassing of systeem.</w:t>
      </w:r>
      <w:r w:rsidR="001D2272">
        <w:t xml:space="preserve"> </w:t>
      </w:r>
      <w:bookmarkStart w:id="3" w:name="_Hlk119412691"/>
      <w:r w:rsidR="001D2272">
        <w:t>De modeleisen worden niet</w:t>
      </w:r>
      <w:r w:rsidR="00661693">
        <w:t xml:space="preserve"> (of beperkt)</w:t>
      </w:r>
      <w:r w:rsidR="001D2272">
        <w:t xml:space="preserve"> meegenomen in de aanschaf, bouw en inrichting van </w:t>
      </w:r>
      <w:r w:rsidR="00661693">
        <w:t>de specifiek afgebakende (vak)applicatie.</w:t>
      </w:r>
      <w:bookmarkEnd w:id="3"/>
    </w:p>
    <w:bookmarkEnd w:id="2"/>
    <w:p w14:paraId="10805DC5" w14:textId="75AF544D" w:rsidR="00F2396A" w:rsidRDefault="00B212FA" w:rsidP="00F2396A">
      <w:r>
        <w:rPr>
          <w:noProof/>
          <w:lang w:eastAsia="nl-NL"/>
        </w:rPr>
        <w:lastRenderedPageBreak/>
        <w:drawing>
          <wp:inline distT="0" distB="0" distL="0" distR="0" wp14:anchorId="6242058E" wp14:editId="39D2F872">
            <wp:extent cx="5486400" cy="40392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86400" cy="4039200"/>
                    </a:xfrm>
                    <a:prstGeom prst="rect">
                      <a:avLst/>
                    </a:prstGeom>
                  </pic:spPr>
                </pic:pic>
              </a:graphicData>
            </a:graphic>
          </wp:inline>
        </w:drawing>
      </w:r>
    </w:p>
    <w:p w14:paraId="5C35DBAE" w14:textId="77777777" w:rsidR="00857795" w:rsidRDefault="00857795" w:rsidP="00857795">
      <w:r w:rsidRPr="002D1244">
        <w:rPr>
          <w:b/>
        </w:rPr>
        <w:t xml:space="preserve">Patroon </w:t>
      </w:r>
      <w:r w:rsidR="00324891">
        <w:rPr>
          <w:b/>
        </w:rPr>
        <w:t>3</w:t>
      </w:r>
      <w:r w:rsidRPr="002D1244">
        <w:rPr>
          <w:b/>
        </w:rPr>
        <w:t>:</w:t>
      </w:r>
      <w:r>
        <w:t xml:space="preserve"> </w:t>
      </w:r>
      <w:r w:rsidR="002B4E5D">
        <w:t>E</w:t>
      </w:r>
      <w:r>
        <w:t>en specifiek afgebakende (vak)applicatie, toepassing of systeem die de bedrijfsfunctie ondersteunt, maar niet de DUTO-functi</w:t>
      </w:r>
      <w:r w:rsidR="00661693">
        <w:t>e</w:t>
      </w:r>
      <w:r>
        <w:t>. De DUTO-functi</w:t>
      </w:r>
      <w:r w:rsidR="00661693">
        <w:t>e</w:t>
      </w:r>
      <w:r>
        <w:t xml:space="preserve"> bevindt zich in een </w:t>
      </w:r>
      <w:r w:rsidR="00324891">
        <w:t>gemeenschappelijk DUTO-component</w:t>
      </w:r>
      <w:r>
        <w:t xml:space="preserve"> die de DUTO-functionaliteit generiek ondersteunt. Dit kan bijvoorbeeld een </w:t>
      </w:r>
      <w:r w:rsidR="00661693">
        <w:t>externe zoekmachine</w:t>
      </w:r>
      <w:r w:rsidR="00324891">
        <w:t xml:space="preserve">, </w:t>
      </w:r>
      <w:proofErr w:type="spellStart"/>
      <w:r w:rsidR="00324891">
        <w:t>anonimisering</w:t>
      </w:r>
      <w:r w:rsidR="00661693">
        <w:t>stool</w:t>
      </w:r>
      <w:proofErr w:type="spellEnd"/>
      <w:r w:rsidR="00324891">
        <w:t>,</w:t>
      </w:r>
      <w:r w:rsidR="00661693">
        <w:t xml:space="preserve"> webformulier</w:t>
      </w:r>
      <w:r w:rsidR="00324891">
        <w:t>, of vernietiging</w:t>
      </w:r>
      <w:r w:rsidR="00661693">
        <w:t>s</w:t>
      </w:r>
      <w:r w:rsidR="00324891">
        <w:t>component zijn</w:t>
      </w:r>
      <w:r>
        <w:t>.</w:t>
      </w:r>
    </w:p>
    <w:p w14:paraId="193997ED" w14:textId="26A761DD" w:rsidR="002B4E5D" w:rsidRDefault="00FC3045" w:rsidP="00857795">
      <w:r>
        <w:t xml:space="preserve">Bij keuze voor dit implementatiepatroon, worden de modeleisen voor de DUTO-functionaliteit meegenomen in de aanschaf en/of bouw van </w:t>
      </w:r>
      <w:r w:rsidR="003D4F26">
        <w:t>het</w:t>
      </w:r>
      <w:r>
        <w:t xml:space="preserve"> gemeenschappelijk afgebakende DUTO-component. </w:t>
      </w:r>
      <w:r w:rsidR="00661693" w:rsidRPr="00661693">
        <w:t xml:space="preserve">De modeleisen worden niet (of beperkt) meegenomen in de aanschaf, bouw en inrichting van de specifiek </w:t>
      </w:r>
      <w:r w:rsidR="004C695E">
        <w:t xml:space="preserve">en/of generiek </w:t>
      </w:r>
      <w:r w:rsidR="00661693" w:rsidRPr="00661693">
        <w:t>afgebakende (vak)applicatie.</w:t>
      </w:r>
    </w:p>
    <w:p w14:paraId="62D25B48" w14:textId="085EC4A1" w:rsidR="00661693" w:rsidRDefault="007407BC" w:rsidP="002B4E5D">
      <w:r>
        <w:rPr>
          <w:noProof/>
          <w:lang w:eastAsia="nl-NL"/>
        </w:rPr>
        <w:lastRenderedPageBreak/>
        <w:drawing>
          <wp:inline distT="0" distB="0" distL="0" distR="0" wp14:anchorId="2F7CBAE7" wp14:editId="6D920155">
            <wp:extent cx="5490000" cy="4456800"/>
            <wp:effectExtent l="0" t="0" r="0" b="127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90000" cy="4456800"/>
                    </a:xfrm>
                    <a:prstGeom prst="rect">
                      <a:avLst/>
                    </a:prstGeom>
                  </pic:spPr>
                </pic:pic>
              </a:graphicData>
            </a:graphic>
          </wp:inline>
        </w:drawing>
      </w:r>
    </w:p>
    <w:p w14:paraId="3B04C594" w14:textId="77777777" w:rsidR="002B4E5D" w:rsidRDefault="00357D9D" w:rsidP="002B4E5D">
      <w:r>
        <w:t>Er zijn verschillende subvarianten en combinaties van deze implementatiepatronen mogelijk. Zo is het mogelijk dat informatieobjecten worden opgeslagen in een DMS of e-depot (patroon 2), maar dat zo’n DMS of e-depot voor een bepaalde functie gebruik maakt van een los component (patroon 3). Of dat een taakapplicatie bepaalde DUTO-functies wel ondersteund (patroon 1), terwijl andere functies via een externe component (patroon 3) worden ondersteund.</w:t>
      </w:r>
      <w:bookmarkEnd w:id="0"/>
    </w:p>
    <w:sectPr w:rsidR="002B4E5D" w:rsidSect="00822CA2">
      <w:headerReference w:type="even" r:id="rId23"/>
      <w:headerReference w:type="default" r:id="rId24"/>
      <w:footerReference w:type="even" r:id="rId25"/>
      <w:footerReference w:type="default" r:id="rId26"/>
      <w:headerReference w:type="first" r:id="rId27"/>
      <w:footerReference w:type="first" r:id="rId28"/>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8EA6A" w14:textId="77777777" w:rsidR="00374CD3" w:rsidRDefault="00374CD3" w:rsidP="00374CD3">
      <w:pPr>
        <w:spacing w:after="0" w:line="240" w:lineRule="auto"/>
      </w:pPr>
      <w:r>
        <w:separator/>
      </w:r>
    </w:p>
  </w:endnote>
  <w:endnote w:type="continuationSeparator" w:id="0">
    <w:p w14:paraId="25474DFF" w14:textId="77777777" w:rsidR="00374CD3" w:rsidRDefault="00374CD3" w:rsidP="00374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99F3" w14:textId="77777777" w:rsidR="00374CD3" w:rsidRDefault="00374CD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3044A" w14:textId="5BA3C408" w:rsidR="00374CD3" w:rsidRDefault="00374CD3">
    <w:pPr>
      <w:pStyle w:val="Voettekst"/>
    </w:pPr>
  </w:p>
  <w:p w14:paraId="34A43E80" w14:textId="5A7C1EE9" w:rsidR="00EE3C3B" w:rsidRDefault="00D20C5B" w:rsidP="00D20C5B">
    <w:pPr>
      <w:pStyle w:val="Voettekst"/>
    </w:pPr>
    <w:r>
      <w:t xml:space="preserve">Deze conceptmodule hoort bij het kennisproduct DUTO-raamwerk van het Nationaal Archief. Voor meer informatie, zie </w:t>
    </w:r>
    <w:hyperlink r:id="rId1" w:history="1">
      <w:r>
        <w:rPr>
          <w:rStyle w:val="Hyperlink"/>
        </w:rPr>
        <w:t>https://www.nationaalarchief.nl/duto-raamwerk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D3C4D" w14:textId="77777777" w:rsidR="00374CD3" w:rsidRDefault="00374CD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B8FD3" w14:textId="77777777" w:rsidR="00374CD3" w:rsidRDefault="00374CD3" w:rsidP="00374CD3">
      <w:pPr>
        <w:spacing w:after="0" w:line="240" w:lineRule="auto"/>
      </w:pPr>
      <w:r>
        <w:separator/>
      </w:r>
    </w:p>
  </w:footnote>
  <w:footnote w:type="continuationSeparator" w:id="0">
    <w:p w14:paraId="28380074" w14:textId="77777777" w:rsidR="00374CD3" w:rsidRDefault="00374CD3" w:rsidP="00374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494CA" w14:textId="3F91FBC9" w:rsidR="00374CD3" w:rsidRDefault="00D20C5B">
    <w:pPr>
      <w:pStyle w:val="Koptekst"/>
    </w:pPr>
    <w:r>
      <w:rPr>
        <w:noProof/>
      </w:rPr>
      <w:pict w14:anchorId="4C8258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22751" o:spid="_x0000_s2050" type="#_x0000_t136" style="position:absolute;margin-left:0;margin-top:0;width:447.65pt;height:191.85pt;rotation:315;z-index:-251655168;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866A1" w14:textId="675081E4" w:rsidR="00374CD3" w:rsidRDefault="00D20C5B">
    <w:pPr>
      <w:pStyle w:val="Koptekst"/>
    </w:pPr>
    <w:r>
      <w:rPr>
        <w:noProof/>
      </w:rPr>
      <w:pict w14:anchorId="1ECADB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22752" o:spid="_x0000_s2051" type="#_x0000_t136" style="position:absolute;margin-left:0;margin-top:0;width:447.65pt;height:191.85pt;rotation:315;z-index:-251653120;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DF6D7" w14:textId="3DFA0B8D" w:rsidR="00374CD3" w:rsidRDefault="00D20C5B">
    <w:pPr>
      <w:pStyle w:val="Koptekst"/>
    </w:pPr>
    <w:r>
      <w:rPr>
        <w:noProof/>
      </w:rPr>
      <w:pict w14:anchorId="44B064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22750" o:spid="_x0000_s2049" type="#_x0000_t136" style="position:absolute;margin-left:0;margin-top:0;width:447.65pt;height:191.85pt;rotation:315;z-index:-251657216;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1DEC"/>
    <w:multiLevelType w:val="hybridMultilevel"/>
    <w:tmpl w:val="49025D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9C3BCF"/>
    <w:multiLevelType w:val="hybridMultilevel"/>
    <w:tmpl w:val="58A2A18A"/>
    <w:lvl w:ilvl="0" w:tplc="3740DBA6">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C705DCD"/>
    <w:multiLevelType w:val="hybridMultilevel"/>
    <w:tmpl w:val="2FD43F14"/>
    <w:lvl w:ilvl="0" w:tplc="5E38F6D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081F6D"/>
    <w:multiLevelType w:val="hybridMultilevel"/>
    <w:tmpl w:val="4B3825FA"/>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AE290C"/>
    <w:multiLevelType w:val="hybridMultilevel"/>
    <w:tmpl w:val="C7E8BF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5B217F"/>
    <w:multiLevelType w:val="hybridMultilevel"/>
    <w:tmpl w:val="77B83FDA"/>
    <w:lvl w:ilvl="0" w:tplc="C3A6546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24574D"/>
    <w:multiLevelType w:val="hybridMultilevel"/>
    <w:tmpl w:val="BF3ABD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BB95196"/>
    <w:multiLevelType w:val="hybridMultilevel"/>
    <w:tmpl w:val="303A7906"/>
    <w:lvl w:ilvl="0" w:tplc="0A2CA3A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708163D"/>
    <w:multiLevelType w:val="hybridMultilevel"/>
    <w:tmpl w:val="C80E6350"/>
    <w:lvl w:ilvl="0" w:tplc="8976186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D8877FC"/>
    <w:multiLevelType w:val="hybridMultilevel"/>
    <w:tmpl w:val="8DC8C7D6"/>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ED9647C"/>
    <w:multiLevelType w:val="hybridMultilevel"/>
    <w:tmpl w:val="A8428FA6"/>
    <w:lvl w:ilvl="0" w:tplc="3A041C8C">
      <w:numFmt w:val="bullet"/>
      <w:lvlText w:val="-"/>
      <w:lvlJc w:val="left"/>
      <w:pPr>
        <w:ind w:left="1413" w:hanging="705"/>
      </w:pPr>
      <w:rPr>
        <w:rFonts w:ascii="Verdana" w:eastAsiaTheme="minorHAnsi" w:hAnsi="Verdan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314B4398"/>
    <w:multiLevelType w:val="hybridMultilevel"/>
    <w:tmpl w:val="667E8C54"/>
    <w:lvl w:ilvl="0" w:tplc="C3A6546E">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4252F4C"/>
    <w:multiLevelType w:val="hybridMultilevel"/>
    <w:tmpl w:val="6B5C24AC"/>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FC64D2B"/>
    <w:multiLevelType w:val="hybridMultilevel"/>
    <w:tmpl w:val="630A119C"/>
    <w:lvl w:ilvl="0" w:tplc="64DCC0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7C4692B"/>
    <w:multiLevelType w:val="hybridMultilevel"/>
    <w:tmpl w:val="CFD470F8"/>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33E3288"/>
    <w:multiLevelType w:val="hybridMultilevel"/>
    <w:tmpl w:val="85187DFC"/>
    <w:lvl w:ilvl="0" w:tplc="C3A6546E">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7EE0BC6"/>
    <w:multiLevelType w:val="hybridMultilevel"/>
    <w:tmpl w:val="A1DE424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589E658F"/>
    <w:multiLevelType w:val="hybridMultilevel"/>
    <w:tmpl w:val="ECFAB0B6"/>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1496CC4"/>
    <w:multiLevelType w:val="hybridMultilevel"/>
    <w:tmpl w:val="D00610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99B366E"/>
    <w:multiLevelType w:val="hybridMultilevel"/>
    <w:tmpl w:val="FDA8BA2E"/>
    <w:lvl w:ilvl="0" w:tplc="BE7C4D9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B2E029E"/>
    <w:multiLevelType w:val="hybridMultilevel"/>
    <w:tmpl w:val="3500937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38039FF"/>
    <w:multiLevelType w:val="hybridMultilevel"/>
    <w:tmpl w:val="759C7E02"/>
    <w:lvl w:ilvl="0" w:tplc="3A041C8C">
      <w:numFmt w:val="bullet"/>
      <w:lvlText w:val="-"/>
      <w:lvlJc w:val="left"/>
      <w:pPr>
        <w:ind w:left="1410"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AE7408A"/>
    <w:multiLevelType w:val="hybridMultilevel"/>
    <w:tmpl w:val="6DE2EFC0"/>
    <w:lvl w:ilvl="0" w:tplc="C3A6546E">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7B2D3601"/>
    <w:multiLevelType w:val="hybridMultilevel"/>
    <w:tmpl w:val="B9F20696"/>
    <w:lvl w:ilvl="0" w:tplc="C3A6546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6873562">
    <w:abstractNumId w:val="19"/>
  </w:num>
  <w:num w:numId="2" w16cid:durableId="21445755">
    <w:abstractNumId w:val="11"/>
  </w:num>
  <w:num w:numId="3" w16cid:durableId="248082776">
    <w:abstractNumId w:val="5"/>
  </w:num>
  <w:num w:numId="4" w16cid:durableId="626742739">
    <w:abstractNumId w:val="10"/>
  </w:num>
  <w:num w:numId="5" w16cid:durableId="1219511242">
    <w:abstractNumId w:val="21"/>
  </w:num>
  <w:num w:numId="6" w16cid:durableId="1407144190">
    <w:abstractNumId w:val="1"/>
  </w:num>
  <w:num w:numId="7" w16cid:durableId="1230652414">
    <w:abstractNumId w:val="2"/>
  </w:num>
  <w:num w:numId="8" w16cid:durableId="639462731">
    <w:abstractNumId w:val="8"/>
  </w:num>
  <w:num w:numId="9" w16cid:durableId="404226683">
    <w:abstractNumId w:val="22"/>
  </w:num>
  <w:num w:numId="10" w16cid:durableId="376316679">
    <w:abstractNumId w:val="20"/>
  </w:num>
  <w:num w:numId="11" w16cid:durableId="1463772224">
    <w:abstractNumId w:val="14"/>
  </w:num>
  <w:num w:numId="12" w16cid:durableId="950936977">
    <w:abstractNumId w:val="9"/>
  </w:num>
  <w:num w:numId="13" w16cid:durableId="1329021006">
    <w:abstractNumId w:val="17"/>
  </w:num>
  <w:num w:numId="14" w16cid:durableId="327560892">
    <w:abstractNumId w:val="12"/>
  </w:num>
  <w:num w:numId="15" w16cid:durableId="588199414">
    <w:abstractNumId w:val="13"/>
  </w:num>
  <w:num w:numId="16" w16cid:durableId="1363045537">
    <w:abstractNumId w:val="7"/>
  </w:num>
  <w:num w:numId="17" w16cid:durableId="714740314">
    <w:abstractNumId w:val="15"/>
  </w:num>
  <w:num w:numId="18" w16cid:durableId="1603294049">
    <w:abstractNumId w:val="0"/>
  </w:num>
  <w:num w:numId="19" w16cid:durableId="679115923">
    <w:abstractNumId w:val="16"/>
  </w:num>
  <w:num w:numId="20" w16cid:durableId="1919899110">
    <w:abstractNumId w:val="6"/>
  </w:num>
  <w:num w:numId="21" w16cid:durableId="2024698735">
    <w:abstractNumId w:val="4"/>
  </w:num>
  <w:num w:numId="22" w16cid:durableId="260260719">
    <w:abstractNumId w:val="18"/>
  </w:num>
  <w:num w:numId="23" w16cid:durableId="213542563">
    <w:abstractNumId w:val="3"/>
  </w:num>
  <w:num w:numId="24" w16cid:durableId="6712520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A95"/>
    <w:rsid w:val="00006C96"/>
    <w:rsid w:val="000142CE"/>
    <w:rsid w:val="00014B90"/>
    <w:rsid w:val="00014ED7"/>
    <w:rsid w:val="00016593"/>
    <w:rsid w:val="00017BC1"/>
    <w:rsid w:val="00025BC8"/>
    <w:rsid w:val="00030DA6"/>
    <w:rsid w:val="0003761A"/>
    <w:rsid w:val="00064366"/>
    <w:rsid w:val="0008649C"/>
    <w:rsid w:val="000A3FA1"/>
    <w:rsid w:val="000A6B82"/>
    <w:rsid w:val="000A717D"/>
    <w:rsid w:val="000B487B"/>
    <w:rsid w:val="000C04EB"/>
    <w:rsid w:val="000C5FF0"/>
    <w:rsid w:val="000E2AA2"/>
    <w:rsid w:val="000E305C"/>
    <w:rsid w:val="000F18EB"/>
    <w:rsid w:val="00105CC9"/>
    <w:rsid w:val="00122435"/>
    <w:rsid w:val="00125D5A"/>
    <w:rsid w:val="00132202"/>
    <w:rsid w:val="001354CB"/>
    <w:rsid w:val="001375B8"/>
    <w:rsid w:val="00143389"/>
    <w:rsid w:val="001527D6"/>
    <w:rsid w:val="0016480D"/>
    <w:rsid w:val="00173B66"/>
    <w:rsid w:val="00180F93"/>
    <w:rsid w:val="001872AE"/>
    <w:rsid w:val="00187EA6"/>
    <w:rsid w:val="0019163F"/>
    <w:rsid w:val="001941B2"/>
    <w:rsid w:val="00195025"/>
    <w:rsid w:val="001A1501"/>
    <w:rsid w:val="001C1CA5"/>
    <w:rsid w:val="001C3CFA"/>
    <w:rsid w:val="001C70BE"/>
    <w:rsid w:val="001C7D06"/>
    <w:rsid w:val="001D2272"/>
    <w:rsid w:val="001D6669"/>
    <w:rsid w:val="001E1479"/>
    <w:rsid w:val="001E57EF"/>
    <w:rsid w:val="001F37C8"/>
    <w:rsid w:val="001F4B4A"/>
    <w:rsid w:val="00212FFB"/>
    <w:rsid w:val="0022029E"/>
    <w:rsid w:val="00220616"/>
    <w:rsid w:val="002239D3"/>
    <w:rsid w:val="002349AC"/>
    <w:rsid w:val="0024526D"/>
    <w:rsid w:val="002533B7"/>
    <w:rsid w:val="002613BB"/>
    <w:rsid w:val="002670AE"/>
    <w:rsid w:val="0028581D"/>
    <w:rsid w:val="002A3D15"/>
    <w:rsid w:val="002A7D53"/>
    <w:rsid w:val="002B4E5D"/>
    <w:rsid w:val="002B67C3"/>
    <w:rsid w:val="002C41B6"/>
    <w:rsid w:val="002C72EF"/>
    <w:rsid w:val="002D0A98"/>
    <w:rsid w:val="002D1244"/>
    <w:rsid w:val="002D334A"/>
    <w:rsid w:val="002E3021"/>
    <w:rsid w:val="002E3BDF"/>
    <w:rsid w:val="002E53FB"/>
    <w:rsid w:val="002F4792"/>
    <w:rsid w:val="00302AB2"/>
    <w:rsid w:val="00305C7D"/>
    <w:rsid w:val="00307E97"/>
    <w:rsid w:val="003131B5"/>
    <w:rsid w:val="00313F9D"/>
    <w:rsid w:val="003143C7"/>
    <w:rsid w:val="00322D66"/>
    <w:rsid w:val="00324891"/>
    <w:rsid w:val="0033392E"/>
    <w:rsid w:val="00353E69"/>
    <w:rsid w:val="00357D9D"/>
    <w:rsid w:val="0036073F"/>
    <w:rsid w:val="003618E7"/>
    <w:rsid w:val="00362908"/>
    <w:rsid w:val="00370EE2"/>
    <w:rsid w:val="00374CD3"/>
    <w:rsid w:val="00374E20"/>
    <w:rsid w:val="00386EA3"/>
    <w:rsid w:val="003A193A"/>
    <w:rsid w:val="003A3683"/>
    <w:rsid w:val="003A3CBE"/>
    <w:rsid w:val="003C0B1A"/>
    <w:rsid w:val="003D2FC5"/>
    <w:rsid w:val="003D4F26"/>
    <w:rsid w:val="003E16ED"/>
    <w:rsid w:val="003E673C"/>
    <w:rsid w:val="003F4535"/>
    <w:rsid w:val="003F7789"/>
    <w:rsid w:val="0041737B"/>
    <w:rsid w:val="004260CF"/>
    <w:rsid w:val="004453F2"/>
    <w:rsid w:val="004469EC"/>
    <w:rsid w:val="00453058"/>
    <w:rsid w:val="004663E8"/>
    <w:rsid w:val="004732B9"/>
    <w:rsid w:val="00476784"/>
    <w:rsid w:val="00477799"/>
    <w:rsid w:val="00485066"/>
    <w:rsid w:val="00490D74"/>
    <w:rsid w:val="00496626"/>
    <w:rsid w:val="004A718A"/>
    <w:rsid w:val="004B7530"/>
    <w:rsid w:val="004C09C8"/>
    <w:rsid w:val="004C5160"/>
    <w:rsid w:val="004C695E"/>
    <w:rsid w:val="004C70B2"/>
    <w:rsid w:val="004D67B8"/>
    <w:rsid w:val="004E1A95"/>
    <w:rsid w:val="004E6621"/>
    <w:rsid w:val="00506B38"/>
    <w:rsid w:val="005129B9"/>
    <w:rsid w:val="00531EB2"/>
    <w:rsid w:val="0053278C"/>
    <w:rsid w:val="00534CB8"/>
    <w:rsid w:val="00535B20"/>
    <w:rsid w:val="005360CE"/>
    <w:rsid w:val="005408DA"/>
    <w:rsid w:val="005431D6"/>
    <w:rsid w:val="00547DF6"/>
    <w:rsid w:val="0055041C"/>
    <w:rsid w:val="0055502F"/>
    <w:rsid w:val="005554A8"/>
    <w:rsid w:val="005603DF"/>
    <w:rsid w:val="00560A45"/>
    <w:rsid w:val="0057788E"/>
    <w:rsid w:val="0059308D"/>
    <w:rsid w:val="005A3B67"/>
    <w:rsid w:val="005A7A7B"/>
    <w:rsid w:val="005B7D6B"/>
    <w:rsid w:val="005D6EC4"/>
    <w:rsid w:val="005E1C13"/>
    <w:rsid w:val="005E7330"/>
    <w:rsid w:val="00610B38"/>
    <w:rsid w:val="0061354B"/>
    <w:rsid w:val="00622BDA"/>
    <w:rsid w:val="00625D13"/>
    <w:rsid w:val="00642A4D"/>
    <w:rsid w:val="00642D99"/>
    <w:rsid w:val="006433F7"/>
    <w:rsid w:val="00646DE6"/>
    <w:rsid w:val="00654027"/>
    <w:rsid w:val="00654E41"/>
    <w:rsid w:val="00656EF1"/>
    <w:rsid w:val="00661693"/>
    <w:rsid w:val="0066388F"/>
    <w:rsid w:val="00663E4C"/>
    <w:rsid w:val="00696ABA"/>
    <w:rsid w:val="00697A6E"/>
    <w:rsid w:val="006A0386"/>
    <w:rsid w:val="006B047F"/>
    <w:rsid w:val="006B3CEA"/>
    <w:rsid w:val="006B68D9"/>
    <w:rsid w:val="006B7612"/>
    <w:rsid w:val="006C45F9"/>
    <w:rsid w:val="006C560C"/>
    <w:rsid w:val="006E0262"/>
    <w:rsid w:val="006E4F86"/>
    <w:rsid w:val="006E541C"/>
    <w:rsid w:val="006F5272"/>
    <w:rsid w:val="0070324D"/>
    <w:rsid w:val="007063C9"/>
    <w:rsid w:val="00711C57"/>
    <w:rsid w:val="0072285B"/>
    <w:rsid w:val="00725078"/>
    <w:rsid w:val="007324F5"/>
    <w:rsid w:val="007407BC"/>
    <w:rsid w:val="00747ED3"/>
    <w:rsid w:val="007519D0"/>
    <w:rsid w:val="00771B8A"/>
    <w:rsid w:val="007775B8"/>
    <w:rsid w:val="00791FA3"/>
    <w:rsid w:val="007C6FC4"/>
    <w:rsid w:val="007D290F"/>
    <w:rsid w:val="007D3F2A"/>
    <w:rsid w:val="007D6D6E"/>
    <w:rsid w:val="007E1D3A"/>
    <w:rsid w:val="00812496"/>
    <w:rsid w:val="00812E02"/>
    <w:rsid w:val="00822CA2"/>
    <w:rsid w:val="00832407"/>
    <w:rsid w:val="00832C10"/>
    <w:rsid w:val="00843C02"/>
    <w:rsid w:val="00845CE7"/>
    <w:rsid w:val="00853094"/>
    <w:rsid w:val="00857795"/>
    <w:rsid w:val="008642BC"/>
    <w:rsid w:val="00867938"/>
    <w:rsid w:val="008708C2"/>
    <w:rsid w:val="0087094F"/>
    <w:rsid w:val="0087497A"/>
    <w:rsid w:val="0089129A"/>
    <w:rsid w:val="008A19B1"/>
    <w:rsid w:val="008B4D77"/>
    <w:rsid w:val="008C14AD"/>
    <w:rsid w:val="008C2A7F"/>
    <w:rsid w:val="008C3B2E"/>
    <w:rsid w:val="008C6E4E"/>
    <w:rsid w:val="008D2FB4"/>
    <w:rsid w:val="008E5BC5"/>
    <w:rsid w:val="008F65E2"/>
    <w:rsid w:val="008F770C"/>
    <w:rsid w:val="009010F8"/>
    <w:rsid w:val="00906C4B"/>
    <w:rsid w:val="0090797A"/>
    <w:rsid w:val="00911896"/>
    <w:rsid w:val="00915B97"/>
    <w:rsid w:val="00925BD4"/>
    <w:rsid w:val="00933B0F"/>
    <w:rsid w:val="0094294F"/>
    <w:rsid w:val="0094628E"/>
    <w:rsid w:val="009462CA"/>
    <w:rsid w:val="0095259B"/>
    <w:rsid w:val="00952B20"/>
    <w:rsid w:val="00957D92"/>
    <w:rsid w:val="00966138"/>
    <w:rsid w:val="00977BD7"/>
    <w:rsid w:val="009857A3"/>
    <w:rsid w:val="009A2796"/>
    <w:rsid w:val="009A6E9F"/>
    <w:rsid w:val="009A7F39"/>
    <w:rsid w:val="009B5D0B"/>
    <w:rsid w:val="009C0F81"/>
    <w:rsid w:val="009D04CA"/>
    <w:rsid w:val="009D426C"/>
    <w:rsid w:val="009E1659"/>
    <w:rsid w:val="009F703B"/>
    <w:rsid w:val="009F7F72"/>
    <w:rsid w:val="00A027C7"/>
    <w:rsid w:val="00A07C2C"/>
    <w:rsid w:val="00A17E6C"/>
    <w:rsid w:val="00A21AA8"/>
    <w:rsid w:val="00A26925"/>
    <w:rsid w:val="00A30E58"/>
    <w:rsid w:val="00A33024"/>
    <w:rsid w:val="00A33683"/>
    <w:rsid w:val="00A4032A"/>
    <w:rsid w:val="00A5110A"/>
    <w:rsid w:val="00A55127"/>
    <w:rsid w:val="00A67FA5"/>
    <w:rsid w:val="00A70524"/>
    <w:rsid w:val="00A759DE"/>
    <w:rsid w:val="00A92558"/>
    <w:rsid w:val="00A95F4D"/>
    <w:rsid w:val="00AA25E0"/>
    <w:rsid w:val="00AA3AEB"/>
    <w:rsid w:val="00AA745C"/>
    <w:rsid w:val="00AA7598"/>
    <w:rsid w:val="00AB0DB7"/>
    <w:rsid w:val="00AC25C7"/>
    <w:rsid w:val="00AC3AF9"/>
    <w:rsid w:val="00AC4752"/>
    <w:rsid w:val="00AC5D7A"/>
    <w:rsid w:val="00AC7109"/>
    <w:rsid w:val="00AC7ADA"/>
    <w:rsid w:val="00AD11DB"/>
    <w:rsid w:val="00AD3181"/>
    <w:rsid w:val="00AD3850"/>
    <w:rsid w:val="00AF5B16"/>
    <w:rsid w:val="00B00254"/>
    <w:rsid w:val="00B00969"/>
    <w:rsid w:val="00B032F2"/>
    <w:rsid w:val="00B11C65"/>
    <w:rsid w:val="00B126A5"/>
    <w:rsid w:val="00B1350D"/>
    <w:rsid w:val="00B212FA"/>
    <w:rsid w:val="00B2159E"/>
    <w:rsid w:val="00B231A6"/>
    <w:rsid w:val="00B23320"/>
    <w:rsid w:val="00B26286"/>
    <w:rsid w:val="00B26910"/>
    <w:rsid w:val="00B4714A"/>
    <w:rsid w:val="00B52585"/>
    <w:rsid w:val="00B63BCB"/>
    <w:rsid w:val="00B64908"/>
    <w:rsid w:val="00B67112"/>
    <w:rsid w:val="00B76A1B"/>
    <w:rsid w:val="00B864CF"/>
    <w:rsid w:val="00B91691"/>
    <w:rsid w:val="00B97063"/>
    <w:rsid w:val="00BA0F31"/>
    <w:rsid w:val="00BB02D6"/>
    <w:rsid w:val="00BB21B1"/>
    <w:rsid w:val="00BB71DA"/>
    <w:rsid w:val="00BC5F1F"/>
    <w:rsid w:val="00BD1DD9"/>
    <w:rsid w:val="00BD5BBA"/>
    <w:rsid w:val="00BE539A"/>
    <w:rsid w:val="00BE53CE"/>
    <w:rsid w:val="00C012C4"/>
    <w:rsid w:val="00C022D3"/>
    <w:rsid w:val="00C053F3"/>
    <w:rsid w:val="00C121DD"/>
    <w:rsid w:val="00C13DE6"/>
    <w:rsid w:val="00C26BE0"/>
    <w:rsid w:val="00C33BE0"/>
    <w:rsid w:val="00C3519F"/>
    <w:rsid w:val="00C42656"/>
    <w:rsid w:val="00C61C48"/>
    <w:rsid w:val="00C67A58"/>
    <w:rsid w:val="00C74249"/>
    <w:rsid w:val="00C769C5"/>
    <w:rsid w:val="00C80129"/>
    <w:rsid w:val="00C85488"/>
    <w:rsid w:val="00CA231A"/>
    <w:rsid w:val="00CA2BF8"/>
    <w:rsid w:val="00CA3733"/>
    <w:rsid w:val="00CA379F"/>
    <w:rsid w:val="00CA456F"/>
    <w:rsid w:val="00CA5E79"/>
    <w:rsid w:val="00CB0343"/>
    <w:rsid w:val="00CB0657"/>
    <w:rsid w:val="00CB2493"/>
    <w:rsid w:val="00CB2C98"/>
    <w:rsid w:val="00CB5F25"/>
    <w:rsid w:val="00CB6EB6"/>
    <w:rsid w:val="00CC53EB"/>
    <w:rsid w:val="00CD0821"/>
    <w:rsid w:val="00CE5712"/>
    <w:rsid w:val="00CE70F9"/>
    <w:rsid w:val="00CF3855"/>
    <w:rsid w:val="00D12C23"/>
    <w:rsid w:val="00D20C5B"/>
    <w:rsid w:val="00D25682"/>
    <w:rsid w:val="00D318C0"/>
    <w:rsid w:val="00D36C67"/>
    <w:rsid w:val="00D64250"/>
    <w:rsid w:val="00D64F61"/>
    <w:rsid w:val="00D82D91"/>
    <w:rsid w:val="00D837B8"/>
    <w:rsid w:val="00D83849"/>
    <w:rsid w:val="00D9292B"/>
    <w:rsid w:val="00D9421C"/>
    <w:rsid w:val="00DB09E2"/>
    <w:rsid w:val="00DD147D"/>
    <w:rsid w:val="00DE106C"/>
    <w:rsid w:val="00DE4AA4"/>
    <w:rsid w:val="00DE59FB"/>
    <w:rsid w:val="00DF4C3A"/>
    <w:rsid w:val="00DF7D1E"/>
    <w:rsid w:val="00E011FF"/>
    <w:rsid w:val="00E06A53"/>
    <w:rsid w:val="00E07F6B"/>
    <w:rsid w:val="00E10C17"/>
    <w:rsid w:val="00E129C3"/>
    <w:rsid w:val="00E13509"/>
    <w:rsid w:val="00E14C3F"/>
    <w:rsid w:val="00E34FBA"/>
    <w:rsid w:val="00E46BE1"/>
    <w:rsid w:val="00E61EBA"/>
    <w:rsid w:val="00E70730"/>
    <w:rsid w:val="00E744A9"/>
    <w:rsid w:val="00E814CD"/>
    <w:rsid w:val="00E85579"/>
    <w:rsid w:val="00E94D96"/>
    <w:rsid w:val="00E96261"/>
    <w:rsid w:val="00EB05E1"/>
    <w:rsid w:val="00EB3ED0"/>
    <w:rsid w:val="00EC4F0E"/>
    <w:rsid w:val="00EC7730"/>
    <w:rsid w:val="00EE3C3B"/>
    <w:rsid w:val="00EE5738"/>
    <w:rsid w:val="00EE771D"/>
    <w:rsid w:val="00EF2DDE"/>
    <w:rsid w:val="00EF79B5"/>
    <w:rsid w:val="00F2396A"/>
    <w:rsid w:val="00F245DD"/>
    <w:rsid w:val="00F2776F"/>
    <w:rsid w:val="00F30FCD"/>
    <w:rsid w:val="00F32A25"/>
    <w:rsid w:val="00F34E44"/>
    <w:rsid w:val="00F508BF"/>
    <w:rsid w:val="00F55B15"/>
    <w:rsid w:val="00F63F40"/>
    <w:rsid w:val="00F81F82"/>
    <w:rsid w:val="00F82096"/>
    <w:rsid w:val="00F92BD9"/>
    <w:rsid w:val="00F93107"/>
    <w:rsid w:val="00FB0317"/>
    <w:rsid w:val="00FB5A19"/>
    <w:rsid w:val="00FC18A5"/>
    <w:rsid w:val="00FC3045"/>
    <w:rsid w:val="00FC4E6F"/>
    <w:rsid w:val="00FC63D5"/>
    <w:rsid w:val="00FE128F"/>
    <w:rsid w:val="00FF1061"/>
    <w:rsid w:val="00FF7122"/>
    <w:rsid w:val="00FF7E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6A3914"/>
  <w15:chartTrackingRefBased/>
  <w15:docId w15:val="{673BAE3C-E6FA-4DA0-B155-AAA5EE7F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239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F239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F239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554A8"/>
    <w:pPr>
      <w:ind w:left="720"/>
      <w:contextualSpacing/>
    </w:pPr>
  </w:style>
  <w:style w:type="character" w:styleId="Hyperlink">
    <w:name w:val="Hyperlink"/>
    <w:basedOn w:val="Standaardalinea-lettertype"/>
    <w:uiPriority w:val="99"/>
    <w:unhideWhenUsed/>
    <w:rsid w:val="002670AE"/>
    <w:rPr>
      <w:color w:val="0563C1" w:themeColor="hyperlink"/>
      <w:u w:val="single"/>
    </w:rPr>
  </w:style>
  <w:style w:type="character" w:customStyle="1" w:styleId="Onopgelostemelding1">
    <w:name w:val="Onopgeloste melding1"/>
    <w:basedOn w:val="Standaardalinea-lettertype"/>
    <w:uiPriority w:val="99"/>
    <w:semiHidden/>
    <w:unhideWhenUsed/>
    <w:rsid w:val="002670AE"/>
    <w:rPr>
      <w:color w:val="605E5C"/>
      <w:shd w:val="clear" w:color="auto" w:fill="E1DFDD"/>
    </w:rPr>
  </w:style>
  <w:style w:type="character" w:styleId="GevolgdeHyperlink">
    <w:name w:val="FollowedHyperlink"/>
    <w:basedOn w:val="Standaardalinea-lettertype"/>
    <w:uiPriority w:val="99"/>
    <w:semiHidden/>
    <w:unhideWhenUsed/>
    <w:rsid w:val="00DF4C3A"/>
    <w:rPr>
      <w:color w:val="954F72" w:themeColor="followedHyperlink"/>
      <w:u w:val="single"/>
    </w:rPr>
  </w:style>
  <w:style w:type="table" w:styleId="Tabelraster">
    <w:name w:val="Table Grid"/>
    <w:basedOn w:val="Standaardtabel"/>
    <w:uiPriority w:val="39"/>
    <w:rsid w:val="002D3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B00969"/>
    <w:rPr>
      <w:sz w:val="16"/>
      <w:szCs w:val="16"/>
    </w:rPr>
  </w:style>
  <w:style w:type="paragraph" w:styleId="Tekstopmerking">
    <w:name w:val="annotation text"/>
    <w:basedOn w:val="Standaard"/>
    <w:link w:val="TekstopmerkingChar"/>
    <w:uiPriority w:val="99"/>
    <w:unhideWhenUsed/>
    <w:rsid w:val="00B00969"/>
    <w:pPr>
      <w:spacing w:line="240" w:lineRule="auto"/>
    </w:pPr>
    <w:rPr>
      <w:sz w:val="20"/>
      <w:szCs w:val="20"/>
    </w:rPr>
  </w:style>
  <w:style w:type="character" w:customStyle="1" w:styleId="TekstopmerkingChar">
    <w:name w:val="Tekst opmerking Char"/>
    <w:basedOn w:val="Standaardalinea-lettertype"/>
    <w:link w:val="Tekstopmerking"/>
    <w:uiPriority w:val="99"/>
    <w:rsid w:val="00B00969"/>
    <w:rPr>
      <w:sz w:val="20"/>
      <w:szCs w:val="20"/>
    </w:rPr>
  </w:style>
  <w:style w:type="paragraph" w:styleId="Onderwerpvanopmerking">
    <w:name w:val="annotation subject"/>
    <w:basedOn w:val="Tekstopmerking"/>
    <w:next w:val="Tekstopmerking"/>
    <w:link w:val="OnderwerpvanopmerkingChar"/>
    <w:uiPriority w:val="99"/>
    <w:semiHidden/>
    <w:unhideWhenUsed/>
    <w:rsid w:val="00B00969"/>
    <w:rPr>
      <w:b/>
      <w:bCs/>
    </w:rPr>
  </w:style>
  <w:style w:type="character" w:customStyle="1" w:styleId="OnderwerpvanopmerkingChar">
    <w:name w:val="Onderwerp van opmerking Char"/>
    <w:basedOn w:val="TekstopmerkingChar"/>
    <w:link w:val="Onderwerpvanopmerking"/>
    <w:uiPriority w:val="99"/>
    <w:semiHidden/>
    <w:rsid w:val="00B00969"/>
    <w:rPr>
      <w:b/>
      <w:bCs/>
      <w:sz w:val="20"/>
      <w:szCs w:val="20"/>
    </w:rPr>
  </w:style>
  <w:style w:type="paragraph" w:styleId="Ballontekst">
    <w:name w:val="Balloon Text"/>
    <w:basedOn w:val="Standaard"/>
    <w:link w:val="BallontekstChar"/>
    <w:uiPriority w:val="99"/>
    <w:semiHidden/>
    <w:unhideWhenUsed/>
    <w:rsid w:val="009F7F7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F7F72"/>
    <w:rPr>
      <w:rFonts w:ascii="Segoe UI" w:hAnsi="Segoe UI" w:cs="Segoe UI"/>
      <w:sz w:val="18"/>
      <w:szCs w:val="18"/>
    </w:rPr>
  </w:style>
  <w:style w:type="character" w:customStyle="1" w:styleId="Kop1Char">
    <w:name w:val="Kop 1 Char"/>
    <w:basedOn w:val="Standaardalinea-lettertype"/>
    <w:link w:val="Kop1"/>
    <w:uiPriority w:val="9"/>
    <w:rsid w:val="00F2396A"/>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F2396A"/>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F2396A"/>
    <w:rPr>
      <w:rFonts w:asciiTheme="majorHAnsi" w:eastAsiaTheme="majorEastAsia" w:hAnsiTheme="majorHAnsi" w:cstheme="majorBidi"/>
      <w:color w:val="1F4D78" w:themeColor="accent1" w:themeShade="7F"/>
      <w:sz w:val="24"/>
      <w:szCs w:val="24"/>
    </w:rPr>
  </w:style>
  <w:style w:type="paragraph" w:styleId="Titel">
    <w:name w:val="Title"/>
    <w:basedOn w:val="Standaard"/>
    <w:next w:val="Standaard"/>
    <w:link w:val="TitelChar"/>
    <w:uiPriority w:val="10"/>
    <w:qFormat/>
    <w:rsid w:val="00353E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3E69"/>
    <w:rPr>
      <w:rFonts w:asciiTheme="majorHAnsi" w:eastAsiaTheme="majorEastAsia" w:hAnsiTheme="majorHAnsi" w:cstheme="majorBidi"/>
      <w:spacing w:val="-10"/>
      <w:kern w:val="28"/>
      <w:sz w:val="56"/>
      <w:szCs w:val="56"/>
    </w:rPr>
  </w:style>
  <w:style w:type="table" w:customStyle="1" w:styleId="Tabelraster1">
    <w:name w:val="Tabelraster1"/>
    <w:basedOn w:val="Standaardtabel"/>
    <w:next w:val="Tabelraster"/>
    <w:uiPriority w:val="39"/>
    <w:rsid w:val="00B4714A"/>
    <w:pPr>
      <w:spacing w:after="0" w:line="240" w:lineRule="auto"/>
    </w:pPr>
    <w:rPr>
      <w:rFonts w:ascii="Corbel" w:eastAsia="Times New Roman" w:hAnsi="Corbel" w:cs="Times New Roman"/>
      <w:sz w:val="21"/>
      <w:szCs w:val="21"/>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374CD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74CD3"/>
  </w:style>
  <w:style w:type="paragraph" w:styleId="Voettekst">
    <w:name w:val="footer"/>
    <w:basedOn w:val="Standaard"/>
    <w:link w:val="VoettekstChar"/>
    <w:uiPriority w:val="99"/>
    <w:unhideWhenUsed/>
    <w:rsid w:val="00374CD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74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0535">
      <w:bodyDiv w:val="1"/>
      <w:marLeft w:val="0"/>
      <w:marRight w:val="0"/>
      <w:marTop w:val="0"/>
      <w:marBottom w:val="0"/>
      <w:divBdr>
        <w:top w:val="none" w:sz="0" w:space="0" w:color="auto"/>
        <w:left w:val="none" w:sz="0" w:space="0" w:color="auto"/>
        <w:bottom w:val="none" w:sz="0" w:space="0" w:color="auto"/>
        <w:right w:val="none" w:sz="0" w:space="0" w:color="auto"/>
      </w:divBdr>
    </w:div>
    <w:div w:id="86773516">
      <w:bodyDiv w:val="1"/>
      <w:marLeft w:val="0"/>
      <w:marRight w:val="0"/>
      <w:marTop w:val="0"/>
      <w:marBottom w:val="0"/>
      <w:divBdr>
        <w:top w:val="none" w:sz="0" w:space="0" w:color="auto"/>
        <w:left w:val="none" w:sz="0" w:space="0" w:color="auto"/>
        <w:bottom w:val="none" w:sz="0" w:space="0" w:color="auto"/>
        <w:right w:val="none" w:sz="0" w:space="0" w:color="auto"/>
      </w:divBdr>
    </w:div>
    <w:div w:id="117263519">
      <w:bodyDiv w:val="1"/>
      <w:marLeft w:val="0"/>
      <w:marRight w:val="0"/>
      <w:marTop w:val="0"/>
      <w:marBottom w:val="0"/>
      <w:divBdr>
        <w:top w:val="none" w:sz="0" w:space="0" w:color="auto"/>
        <w:left w:val="none" w:sz="0" w:space="0" w:color="auto"/>
        <w:bottom w:val="none" w:sz="0" w:space="0" w:color="auto"/>
        <w:right w:val="none" w:sz="0" w:space="0" w:color="auto"/>
      </w:divBdr>
    </w:div>
    <w:div w:id="295650748">
      <w:bodyDiv w:val="1"/>
      <w:marLeft w:val="0"/>
      <w:marRight w:val="0"/>
      <w:marTop w:val="0"/>
      <w:marBottom w:val="0"/>
      <w:divBdr>
        <w:top w:val="none" w:sz="0" w:space="0" w:color="auto"/>
        <w:left w:val="none" w:sz="0" w:space="0" w:color="auto"/>
        <w:bottom w:val="none" w:sz="0" w:space="0" w:color="auto"/>
        <w:right w:val="none" w:sz="0" w:space="0" w:color="auto"/>
      </w:divBdr>
    </w:div>
    <w:div w:id="345133563">
      <w:bodyDiv w:val="1"/>
      <w:marLeft w:val="0"/>
      <w:marRight w:val="0"/>
      <w:marTop w:val="0"/>
      <w:marBottom w:val="0"/>
      <w:divBdr>
        <w:top w:val="none" w:sz="0" w:space="0" w:color="auto"/>
        <w:left w:val="none" w:sz="0" w:space="0" w:color="auto"/>
        <w:bottom w:val="none" w:sz="0" w:space="0" w:color="auto"/>
        <w:right w:val="none" w:sz="0" w:space="0" w:color="auto"/>
      </w:divBdr>
    </w:div>
    <w:div w:id="424810944">
      <w:bodyDiv w:val="1"/>
      <w:marLeft w:val="0"/>
      <w:marRight w:val="0"/>
      <w:marTop w:val="0"/>
      <w:marBottom w:val="0"/>
      <w:divBdr>
        <w:top w:val="none" w:sz="0" w:space="0" w:color="auto"/>
        <w:left w:val="none" w:sz="0" w:space="0" w:color="auto"/>
        <w:bottom w:val="none" w:sz="0" w:space="0" w:color="auto"/>
        <w:right w:val="none" w:sz="0" w:space="0" w:color="auto"/>
      </w:divBdr>
    </w:div>
    <w:div w:id="454832530">
      <w:bodyDiv w:val="1"/>
      <w:marLeft w:val="0"/>
      <w:marRight w:val="0"/>
      <w:marTop w:val="0"/>
      <w:marBottom w:val="0"/>
      <w:divBdr>
        <w:top w:val="none" w:sz="0" w:space="0" w:color="auto"/>
        <w:left w:val="none" w:sz="0" w:space="0" w:color="auto"/>
        <w:bottom w:val="none" w:sz="0" w:space="0" w:color="auto"/>
        <w:right w:val="none" w:sz="0" w:space="0" w:color="auto"/>
      </w:divBdr>
    </w:div>
    <w:div w:id="584270464">
      <w:bodyDiv w:val="1"/>
      <w:marLeft w:val="0"/>
      <w:marRight w:val="0"/>
      <w:marTop w:val="0"/>
      <w:marBottom w:val="0"/>
      <w:divBdr>
        <w:top w:val="none" w:sz="0" w:space="0" w:color="auto"/>
        <w:left w:val="none" w:sz="0" w:space="0" w:color="auto"/>
        <w:bottom w:val="none" w:sz="0" w:space="0" w:color="auto"/>
        <w:right w:val="none" w:sz="0" w:space="0" w:color="auto"/>
      </w:divBdr>
    </w:div>
    <w:div w:id="629408141">
      <w:bodyDiv w:val="1"/>
      <w:marLeft w:val="0"/>
      <w:marRight w:val="0"/>
      <w:marTop w:val="0"/>
      <w:marBottom w:val="0"/>
      <w:divBdr>
        <w:top w:val="none" w:sz="0" w:space="0" w:color="auto"/>
        <w:left w:val="none" w:sz="0" w:space="0" w:color="auto"/>
        <w:bottom w:val="none" w:sz="0" w:space="0" w:color="auto"/>
        <w:right w:val="none" w:sz="0" w:space="0" w:color="auto"/>
      </w:divBdr>
    </w:div>
    <w:div w:id="645666786">
      <w:bodyDiv w:val="1"/>
      <w:marLeft w:val="0"/>
      <w:marRight w:val="0"/>
      <w:marTop w:val="0"/>
      <w:marBottom w:val="0"/>
      <w:divBdr>
        <w:top w:val="none" w:sz="0" w:space="0" w:color="auto"/>
        <w:left w:val="none" w:sz="0" w:space="0" w:color="auto"/>
        <w:bottom w:val="none" w:sz="0" w:space="0" w:color="auto"/>
        <w:right w:val="none" w:sz="0" w:space="0" w:color="auto"/>
      </w:divBdr>
    </w:div>
    <w:div w:id="846015041">
      <w:bodyDiv w:val="1"/>
      <w:marLeft w:val="0"/>
      <w:marRight w:val="0"/>
      <w:marTop w:val="0"/>
      <w:marBottom w:val="0"/>
      <w:divBdr>
        <w:top w:val="none" w:sz="0" w:space="0" w:color="auto"/>
        <w:left w:val="none" w:sz="0" w:space="0" w:color="auto"/>
        <w:bottom w:val="none" w:sz="0" w:space="0" w:color="auto"/>
        <w:right w:val="none" w:sz="0" w:space="0" w:color="auto"/>
      </w:divBdr>
    </w:div>
    <w:div w:id="1001784863">
      <w:bodyDiv w:val="1"/>
      <w:marLeft w:val="0"/>
      <w:marRight w:val="0"/>
      <w:marTop w:val="0"/>
      <w:marBottom w:val="0"/>
      <w:divBdr>
        <w:top w:val="none" w:sz="0" w:space="0" w:color="auto"/>
        <w:left w:val="none" w:sz="0" w:space="0" w:color="auto"/>
        <w:bottom w:val="none" w:sz="0" w:space="0" w:color="auto"/>
        <w:right w:val="none" w:sz="0" w:space="0" w:color="auto"/>
      </w:divBdr>
    </w:div>
    <w:div w:id="1013457583">
      <w:bodyDiv w:val="1"/>
      <w:marLeft w:val="0"/>
      <w:marRight w:val="0"/>
      <w:marTop w:val="0"/>
      <w:marBottom w:val="0"/>
      <w:divBdr>
        <w:top w:val="none" w:sz="0" w:space="0" w:color="auto"/>
        <w:left w:val="none" w:sz="0" w:space="0" w:color="auto"/>
        <w:bottom w:val="none" w:sz="0" w:space="0" w:color="auto"/>
        <w:right w:val="none" w:sz="0" w:space="0" w:color="auto"/>
      </w:divBdr>
    </w:div>
    <w:div w:id="1021476175">
      <w:bodyDiv w:val="1"/>
      <w:marLeft w:val="0"/>
      <w:marRight w:val="0"/>
      <w:marTop w:val="0"/>
      <w:marBottom w:val="0"/>
      <w:divBdr>
        <w:top w:val="none" w:sz="0" w:space="0" w:color="auto"/>
        <w:left w:val="none" w:sz="0" w:space="0" w:color="auto"/>
        <w:bottom w:val="none" w:sz="0" w:space="0" w:color="auto"/>
        <w:right w:val="none" w:sz="0" w:space="0" w:color="auto"/>
      </w:divBdr>
    </w:div>
    <w:div w:id="1036857157">
      <w:bodyDiv w:val="1"/>
      <w:marLeft w:val="0"/>
      <w:marRight w:val="0"/>
      <w:marTop w:val="0"/>
      <w:marBottom w:val="0"/>
      <w:divBdr>
        <w:top w:val="none" w:sz="0" w:space="0" w:color="auto"/>
        <w:left w:val="none" w:sz="0" w:space="0" w:color="auto"/>
        <w:bottom w:val="none" w:sz="0" w:space="0" w:color="auto"/>
        <w:right w:val="none" w:sz="0" w:space="0" w:color="auto"/>
      </w:divBdr>
    </w:div>
    <w:div w:id="1121604932">
      <w:bodyDiv w:val="1"/>
      <w:marLeft w:val="0"/>
      <w:marRight w:val="0"/>
      <w:marTop w:val="0"/>
      <w:marBottom w:val="0"/>
      <w:divBdr>
        <w:top w:val="none" w:sz="0" w:space="0" w:color="auto"/>
        <w:left w:val="none" w:sz="0" w:space="0" w:color="auto"/>
        <w:bottom w:val="none" w:sz="0" w:space="0" w:color="auto"/>
        <w:right w:val="none" w:sz="0" w:space="0" w:color="auto"/>
      </w:divBdr>
    </w:div>
    <w:div w:id="1273976509">
      <w:bodyDiv w:val="1"/>
      <w:marLeft w:val="0"/>
      <w:marRight w:val="0"/>
      <w:marTop w:val="0"/>
      <w:marBottom w:val="0"/>
      <w:divBdr>
        <w:top w:val="none" w:sz="0" w:space="0" w:color="auto"/>
        <w:left w:val="none" w:sz="0" w:space="0" w:color="auto"/>
        <w:bottom w:val="none" w:sz="0" w:space="0" w:color="auto"/>
        <w:right w:val="none" w:sz="0" w:space="0" w:color="auto"/>
      </w:divBdr>
    </w:div>
    <w:div w:id="1354921171">
      <w:bodyDiv w:val="1"/>
      <w:marLeft w:val="0"/>
      <w:marRight w:val="0"/>
      <w:marTop w:val="0"/>
      <w:marBottom w:val="0"/>
      <w:divBdr>
        <w:top w:val="none" w:sz="0" w:space="0" w:color="auto"/>
        <w:left w:val="none" w:sz="0" w:space="0" w:color="auto"/>
        <w:bottom w:val="none" w:sz="0" w:space="0" w:color="auto"/>
        <w:right w:val="none" w:sz="0" w:space="0" w:color="auto"/>
      </w:divBdr>
    </w:div>
    <w:div w:id="1435054629">
      <w:bodyDiv w:val="1"/>
      <w:marLeft w:val="0"/>
      <w:marRight w:val="0"/>
      <w:marTop w:val="0"/>
      <w:marBottom w:val="0"/>
      <w:divBdr>
        <w:top w:val="none" w:sz="0" w:space="0" w:color="auto"/>
        <w:left w:val="none" w:sz="0" w:space="0" w:color="auto"/>
        <w:bottom w:val="none" w:sz="0" w:space="0" w:color="auto"/>
        <w:right w:val="none" w:sz="0" w:space="0" w:color="auto"/>
      </w:divBdr>
    </w:div>
    <w:div w:id="1478493238">
      <w:bodyDiv w:val="1"/>
      <w:marLeft w:val="0"/>
      <w:marRight w:val="0"/>
      <w:marTop w:val="0"/>
      <w:marBottom w:val="0"/>
      <w:divBdr>
        <w:top w:val="none" w:sz="0" w:space="0" w:color="auto"/>
        <w:left w:val="none" w:sz="0" w:space="0" w:color="auto"/>
        <w:bottom w:val="none" w:sz="0" w:space="0" w:color="auto"/>
        <w:right w:val="none" w:sz="0" w:space="0" w:color="auto"/>
      </w:divBdr>
    </w:div>
    <w:div w:id="1620187794">
      <w:bodyDiv w:val="1"/>
      <w:marLeft w:val="0"/>
      <w:marRight w:val="0"/>
      <w:marTop w:val="0"/>
      <w:marBottom w:val="0"/>
      <w:divBdr>
        <w:top w:val="none" w:sz="0" w:space="0" w:color="auto"/>
        <w:left w:val="none" w:sz="0" w:space="0" w:color="auto"/>
        <w:bottom w:val="none" w:sz="0" w:space="0" w:color="auto"/>
        <w:right w:val="none" w:sz="0" w:space="0" w:color="auto"/>
      </w:divBdr>
    </w:div>
    <w:div w:id="1820919256">
      <w:bodyDiv w:val="1"/>
      <w:marLeft w:val="0"/>
      <w:marRight w:val="0"/>
      <w:marTop w:val="0"/>
      <w:marBottom w:val="0"/>
      <w:divBdr>
        <w:top w:val="none" w:sz="0" w:space="0" w:color="auto"/>
        <w:left w:val="none" w:sz="0" w:space="0" w:color="auto"/>
        <w:bottom w:val="none" w:sz="0" w:space="0" w:color="auto"/>
        <w:right w:val="none" w:sz="0" w:space="0" w:color="auto"/>
      </w:divBdr>
    </w:div>
    <w:div w:id="1850830111">
      <w:bodyDiv w:val="1"/>
      <w:marLeft w:val="0"/>
      <w:marRight w:val="0"/>
      <w:marTop w:val="0"/>
      <w:marBottom w:val="0"/>
      <w:divBdr>
        <w:top w:val="none" w:sz="0" w:space="0" w:color="auto"/>
        <w:left w:val="none" w:sz="0" w:space="0" w:color="auto"/>
        <w:bottom w:val="none" w:sz="0" w:space="0" w:color="auto"/>
        <w:right w:val="none" w:sz="0" w:space="0" w:color="auto"/>
      </w:divBdr>
    </w:div>
    <w:div w:id="2048987121">
      <w:bodyDiv w:val="1"/>
      <w:marLeft w:val="0"/>
      <w:marRight w:val="0"/>
      <w:marTop w:val="0"/>
      <w:marBottom w:val="0"/>
      <w:divBdr>
        <w:top w:val="none" w:sz="0" w:space="0" w:color="auto"/>
        <w:left w:val="none" w:sz="0" w:space="0" w:color="auto"/>
        <w:bottom w:val="none" w:sz="0" w:space="0" w:color="auto"/>
        <w:right w:val="none" w:sz="0" w:space="0" w:color="auto"/>
      </w:divBdr>
    </w:div>
    <w:div w:id="213197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package" Target="embeddings/Microsoft_Visio_Drawing1.vsdx"/><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package" Target="embeddings/Microsoft_Visio_Drawing.vsdx"/><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package" Target="embeddings/Microsoft_Visio_Drawing2.vsdx"/><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2.png"/><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nationaalarchief.nl/duto-raamwerk"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E9A0E4-E254-4CEC-B2B4-8AE1E7F39AAD}">
  <ds:schemaRefs>
    <ds:schemaRef ds:uri="http://schemas.openxmlformats.org/officeDocument/2006/bibliography"/>
  </ds:schemaRefs>
</ds:datastoreItem>
</file>

<file path=customXml/itemProps2.xml><?xml version="1.0" encoding="utf-8"?>
<ds:datastoreItem xmlns:ds="http://schemas.openxmlformats.org/officeDocument/2006/customXml" ds:itemID="{8B62FC4B-F61D-4568-8F08-3C898C550ED4}"/>
</file>

<file path=customXml/itemProps3.xml><?xml version="1.0" encoding="utf-8"?>
<ds:datastoreItem xmlns:ds="http://schemas.openxmlformats.org/officeDocument/2006/customXml" ds:itemID="{8809EE59-B57F-4638-BC3E-0F9159AE961C}"/>
</file>

<file path=docProps/app.xml><?xml version="1.0" encoding="utf-8"?>
<Properties xmlns="http://schemas.openxmlformats.org/officeDocument/2006/extended-properties" xmlns:vt="http://schemas.openxmlformats.org/officeDocument/2006/docPropsVTypes">
  <Template>Normal.dotm</Template>
  <TotalTime>3</TotalTime>
  <Pages>9</Pages>
  <Words>1696</Words>
  <Characters>9332</Characters>
  <Application>Microsoft Office Word</Application>
  <DocSecurity>0</DocSecurity>
  <Lines>77</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Ouwerkerk, Rens</dc:creator>
  <cp:keywords/>
  <dc:description/>
  <cp:lastModifiedBy>Vincent Post</cp:lastModifiedBy>
  <cp:revision>6</cp:revision>
  <dcterms:created xsi:type="dcterms:W3CDTF">2023-03-28T14:30:00Z</dcterms:created>
  <dcterms:modified xsi:type="dcterms:W3CDTF">2023-04-07T08:14:00Z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37470686</vt:lpwstr>
  </property>
</Properties>
</file>