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DDFB" w14:textId="17482F9D" w:rsidR="00585600" w:rsidRPr="000762AA" w:rsidRDefault="000762AA">
      <w:pPr>
        <w:rPr>
          <w:b/>
          <w:bCs/>
        </w:rPr>
      </w:pPr>
      <w:r w:rsidRPr="000762AA">
        <w:rPr>
          <w:b/>
          <w:bCs/>
        </w:rPr>
        <w:t xml:space="preserve">Regiosamenwerking </w:t>
      </w:r>
      <w:r w:rsidR="002F7C52" w:rsidRPr="000762AA">
        <w:rPr>
          <w:b/>
          <w:bCs/>
        </w:rPr>
        <w:t>Concept-samenwerkingsafspraken</w:t>
      </w:r>
      <w:r w:rsidR="00173D91">
        <w:rPr>
          <w:b/>
          <w:bCs/>
        </w:rPr>
        <w:t xml:space="preserve"> Archivering</w:t>
      </w:r>
    </w:p>
    <w:p w14:paraId="24903ABF" w14:textId="01831C15" w:rsidR="000762AA" w:rsidRPr="000762AA" w:rsidRDefault="000762AA">
      <w:pPr>
        <w:rPr>
          <w:b/>
          <w:bCs/>
        </w:rPr>
      </w:pPr>
      <w:r w:rsidRPr="000762AA">
        <w:rPr>
          <w:b/>
          <w:bCs/>
        </w:rPr>
        <w:t>Verdiepingssessie Archivering</w:t>
      </w:r>
      <w:r w:rsidR="00A45C4A">
        <w:rPr>
          <w:b/>
          <w:bCs/>
        </w:rPr>
        <w:t xml:space="preserve">, </w:t>
      </w:r>
      <w:r w:rsidR="00995B13">
        <w:rPr>
          <w:b/>
          <w:bCs/>
        </w:rPr>
        <w:t>verslag van bevindingen verdiepingsgroep</w:t>
      </w:r>
    </w:p>
    <w:p w14:paraId="17332D1F" w14:textId="52A6405A" w:rsidR="00153FB7" w:rsidRPr="002E747F" w:rsidRDefault="003543F9">
      <w:pPr>
        <w:rPr>
          <w:b/>
          <w:bCs/>
        </w:rPr>
      </w:pPr>
      <w:r w:rsidRPr="002E747F">
        <w:rPr>
          <w:b/>
          <w:bCs/>
        </w:rPr>
        <w:t>Bijeenkomst Regiosamenwe</w:t>
      </w:r>
      <w:r w:rsidR="002E747F" w:rsidRPr="002E747F">
        <w:rPr>
          <w:b/>
          <w:bCs/>
        </w:rPr>
        <w:t>r</w:t>
      </w:r>
      <w:r w:rsidRPr="002E747F">
        <w:rPr>
          <w:b/>
          <w:bCs/>
        </w:rPr>
        <w:t xml:space="preserve">king, verwerking input </w:t>
      </w:r>
      <w:r w:rsidR="002E747F" w:rsidRPr="002E747F">
        <w:rPr>
          <w:b/>
          <w:bCs/>
        </w:rPr>
        <w:t>deelnemers spoor Archivering</w:t>
      </w:r>
    </w:p>
    <w:p w14:paraId="4C6FB7DE" w14:textId="0155FFF0" w:rsidR="000762AA" w:rsidRDefault="000762AA">
      <w:r>
        <w:t>6 april 2022</w:t>
      </w:r>
      <w:r w:rsidR="005950D4">
        <w:t xml:space="preserve">, </w:t>
      </w:r>
      <w:r w:rsidR="003543F9">
        <w:t>21 april 2022</w:t>
      </w:r>
      <w:r w:rsidR="00FF1235">
        <w:t>, verslag en advies versie 29 april</w:t>
      </w:r>
    </w:p>
    <w:p w14:paraId="2130D40C" w14:textId="77777777" w:rsidR="000762AA" w:rsidRDefault="000762AA"/>
    <w:p w14:paraId="2AB62398" w14:textId="77777777" w:rsidR="00FF1235" w:rsidRDefault="00FF1235"/>
    <w:p w14:paraId="2A10A8EE" w14:textId="5A1726E5" w:rsidR="00A45C4A" w:rsidRPr="00FF1235" w:rsidRDefault="00FF1235">
      <w:pPr>
        <w:rPr>
          <w:b/>
          <w:bCs/>
        </w:rPr>
      </w:pPr>
      <w:r w:rsidRPr="00FF1235">
        <w:rPr>
          <w:b/>
          <w:bCs/>
        </w:rPr>
        <w:t>Inleiding</w:t>
      </w:r>
    </w:p>
    <w:p w14:paraId="3912377A" w14:textId="156B9993" w:rsidR="0091143A" w:rsidRDefault="00153FB7">
      <w:r>
        <w:t>De v</w:t>
      </w:r>
      <w:r w:rsidR="000762AA">
        <w:t>erdiepingssessie</w:t>
      </w:r>
      <w:r w:rsidR="00090DAC">
        <w:t xml:space="preserve"> op 6 april</w:t>
      </w:r>
      <w:r w:rsidR="00617E7C">
        <w:t xml:space="preserve"> is</w:t>
      </w:r>
      <w:r w:rsidR="000762AA">
        <w:t xml:space="preserve"> geleid door Joost van Koutrik (Het Utrechts Archief), met deelnemers van </w:t>
      </w:r>
      <w:r w:rsidR="009943D5">
        <w:t>gemeenten De Bilt, Amersfoort, Veenendaal</w:t>
      </w:r>
      <w:r w:rsidR="00B845A8">
        <w:t xml:space="preserve">, Wijk bij Duurstede, RUD Utrecht, </w:t>
      </w:r>
      <w:proofErr w:type="spellStart"/>
      <w:r w:rsidR="00B845A8">
        <w:t>OdrU</w:t>
      </w:r>
      <w:proofErr w:type="spellEnd"/>
      <w:r w:rsidR="00B845A8">
        <w:t xml:space="preserve">, </w:t>
      </w:r>
      <w:r w:rsidR="00A45C4A">
        <w:t>Regionaal Archief Zuid-Utrecht, RHC Vecht en Venen.</w:t>
      </w:r>
      <w:r w:rsidR="00011F7E">
        <w:t xml:space="preserve"> Tevens deelname van Hans van </w:t>
      </w:r>
      <w:proofErr w:type="spellStart"/>
      <w:r w:rsidR="00011F7E">
        <w:t>Diën</w:t>
      </w:r>
      <w:proofErr w:type="spellEnd"/>
      <w:r w:rsidR="00011F7E">
        <w:t xml:space="preserve"> (provincie Utrecht), trekker voor de samenwerkingsafspraken Informatievoorziening en ICT.</w:t>
      </w:r>
      <w:r w:rsidR="00090DAC">
        <w:t xml:space="preserve"> </w:t>
      </w:r>
      <w:r w:rsidR="0091143A">
        <w:t xml:space="preserve">Bij </w:t>
      </w:r>
      <w:r w:rsidR="00090DAC">
        <w:t>dit verslag</w:t>
      </w:r>
      <w:r w:rsidR="0091143A">
        <w:t xml:space="preserve"> horen de conceptafspraken </w:t>
      </w:r>
      <w:r w:rsidR="002E551D">
        <w:t>(SOK, versie februari 2022) en de analyse van de feedback op de SOK (maart 2022)</w:t>
      </w:r>
      <w:r w:rsidR="000A4525">
        <w:t xml:space="preserve"> voor de verdiepingssessies.</w:t>
      </w:r>
    </w:p>
    <w:p w14:paraId="29917667" w14:textId="7E4CBCE7" w:rsidR="00F42E1D" w:rsidRDefault="00F42E1D">
      <w:r>
        <w:t>Bij de bijeenkomst van de Regiosamenwerking op 21 april</w:t>
      </w:r>
      <w:r w:rsidR="002226CA">
        <w:t xml:space="preserve"> is de sessie over </w:t>
      </w:r>
      <w:r w:rsidR="007F149D">
        <w:t xml:space="preserve">Archivering twee keer gehouden, beide keren met </w:t>
      </w:r>
      <w:r w:rsidR="00F37C88">
        <w:t xml:space="preserve">drie deelnemers. Uit de tweede sessie is nog een bevinding meegenomen in de eindversie van de samenwerkingsafspraken </w:t>
      </w:r>
      <w:r w:rsidR="0025319B">
        <w:t>Archivering.</w:t>
      </w:r>
    </w:p>
    <w:p w14:paraId="5D67442F" w14:textId="6FBA37C9" w:rsidR="00080053" w:rsidRDefault="00080053">
      <w:r>
        <w:t xml:space="preserve">In dit document staat het advies voor de eindversie van de samenwerkingsafspraken </w:t>
      </w:r>
      <w:r w:rsidR="00BB2A70">
        <w:t>Archivering</w:t>
      </w:r>
      <w:r w:rsidR="00D1577B">
        <w:t xml:space="preserve"> (1)</w:t>
      </w:r>
      <w:r w:rsidR="00BB2A70">
        <w:t xml:space="preserve">, gevolgd door de bevindingen </w:t>
      </w:r>
      <w:r w:rsidR="00D1577B">
        <w:t>uit de bijeenkomst op 21 april (2) en het verslag van de verdiepingssessie (3).</w:t>
      </w:r>
    </w:p>
    <w:p w14:paraId="47A377DC" w14:textId="77777777" w:rsidR="000762AA" w:rsidRDefault="000762AA"/>
    <w:p w14:paraId="33AFF825" w14:textId="77777777" w:rsidR="00100571" w:rsidRDefault="00100571"/>
    <w:p w14:paraId="5366844F" w14:textId="779882DE" w:rsidR="00AB6B3A" w:rsidRPr="00684DD8" w:rsidRDefault="00CC658D">
      <w:pPr>
        <w:rPr>
          <w:b/>
          <w:bCs/>
          <w:u w:val="single"/>
        </w:rPr>
      </w:pPr>
      <w:r>
        <w:rPr>
          <w:b/>
          <w:bCs/>
          <w:u w:val="single"/>
        </w:rPr>
        <w:t xml:space="preserve">1. </w:t>
      </w:r>
      <w:r w:rsidR="0025319B" w:rsidRPr="00684DD8">
        <w:rPr>
          <w:b/>
          <w:bCs/>
          <w:u w:val="single"/>
        </w:rPr>
        <w:t>Advies eindversie samenwerkingsafspraken Archivering</w:t>
      </w:r>
    </w:p>
    <w:p w14:paraId="19E1A816" w14:textId="77777777" w:rsidR="00CF39D1" w:rsidRDefault="00CF39D1"/>
    <w:p w14:paraId="65B6C349" w14:textId="6D5ABF35" w:rsidR="00684DD8" w:rsidRDefault="00684DD8">
      <w:r>
        <w:t>Advies is om de samenwerkingsafspraken als volgt te doen luiden:</w:t>
      </w:r>
    </w:p>
    <w:p w14:paraId="00F204A8" w14:textId="0CCC0827" w:rsidR="004A3FBB" w:rsidRPr="00E01745" w:rsidRDefault="004A3FBB" w:rsidP="004A3FBB">
      <w:r w:rsidRPr="00E01745">
        <w:rPr>
          <w:b/>
          <w:bCs/>
        </w:rPr>
        <w:t>1.</w:t>
      </w:r>
      <w:r w:rsidRPr="00E01745">
        <w:t xml:space="preserve"> </w:t>
      </w:r>
      <w:r w:rsidRPr="00867995">
        <w:t>Partijen maken onderling afspraken over de inrichting van de informatiehuishouding in hun proces- en informatieketens onder de daarvoor relevante wetgeving.</w:t>
      </w:r>
      <w:r>
        <w:t xml:space="preserve"> </w:t>
      </w:r>
      <w:r w:rsidR="00EC0588">
        <w:t xml:space="preserve">Zij </w:t>
      </w:r>
      <w:r w:rsidR="001957F7">
        <w:t>voeren die afspraken uit</w:t>
      </w:r>
      <w:r w:rsidRPr="00867995">
        <w:t xml:space="preserve"> op basis van uniforme basisprincipes die in de hele regio en keten worden gedeeld.</w:t>
      </w:r>
      <w:r>
        <w:t xml:space="preserve"> </w:t>
      </w:r>
      <w:r w:rsidRPr="00867995">
        <w:t>Hiervoor wordt een model ‘dossier afspraken en procedures’ (DAP) gehanteerd.</w:t>
      </w:r>
      <w:r>
        <w:t xml:space="preserve"> </w:t>
      </w:r>
      <w:r w:rsidRPr="00867995">
        <w:t>Dit DAP wordt ingebed in de bredere samenwerkingsafspraken en het model wordt regionaal actueel en volledig gehouden.</w:t>
      </w:r>
      <w:r>
        <w:t xml:space="preserve"> </w:t>
      </w:r>
      <w:r w:rsidRPr="00E01745">
        <w:rPr>
          <w:i/>
          <w:iCs/>
        </w:rPr>
        <w:t>Score 1: belangrijk/urgent</w:t>
      </w:r>
    </w:p>
    <w:p w14:paraId="5FA9600B" w14:textId="77777777" w:rsidR="004A3FBB" w:rsidRPr="000B6BC0" w:rsidRDefault="004A3FBB" w:rsidP="004A3FBB">
      <w:r w:rsidRPr="00E01745">
        <w:rPr>
          <w:b/>
          <w:bCs/>
        </w:rPr>
        <w:t>2.</w:t>
      </w:r>
      <w:r w:rsidRPr="00E01745">
        <w:t xml:space="preserve"> </w:t>
      </w:r>
      <w:r w:rsidRPr="000B6BC0">
        <w:t>Partijen toetsen hun afspraken periodiek (bv. jaarlijks) aan de checklist DUTO-TODO van de Handreiking duurzame toegankelijkheid in de informatieketens van de Omgevingswet,</w:t>
      </w:r>
    </w:p>
    <w:p w14:paraId="7FD67CFB" w14:textId="77777777" w:rsidR="004A3FBB" w:rsidRDefault="004A3FBB" w:rsidP="004A3FBB">
      <w:r w:rsidRPr="000B6BC0">
        <w:t>en treffen waar nodig maatregelen voor verbetering</w:t>
      </w:r>
      <w:r w:rsidRPr="00E01745">
        <w:t>.</w:t>
      </w:r>
      <w:r w:rsidRPr="00E01745">
        <w:rPr>
          <w:i/>
          <w:iCs/>
        </w:rPr>
        <w:t xml:space="preserve"> Score 2: belangrijk/niet urgent</w:t>
      </w:r>
    </w:p>
    <w:p w14:paraId="3520B841" w14:textId="77777777" w:rsidR="00317DDD" w:rsidRDefault="00317DDD"/>
    <w:p w14:paraId="68500F02" w14:textId="64231152" w:rsidR="00684DD8" w:rsidRDefault="00684DD8">
      <w:r>
        <w:t xml:space="preserve">Hierbij </w:t>
      </w:r>
      <w:r w:rsidR="009D77DA">
        <w:t>horen</w:t>
      </w:r>
      <w:r>
        <w:t xml:space="preserve"> </w:t>
      </w:r>
      <w:r w:rsidR="006E3FEE">
        <w:t>vier</w:t>
      </w:r>
      <w:r>
        <w:t xml:space="preserve"> aanbevelingen</w:t>
      </w:r>
      <w:r w:rsidR="006F6CF0">
        <w:t xml:space="preserve"> (zie hiervoor vooral de bevindingen van de verdiepingsgroep):</w:t>
      </w:r>
    </w:p>
    <w:p w14:paraId="1724E86B" w14:textId="0434CE75" w:rsidR="00CF39D1" w:rsidRDefault="006F6CF0" w:rsidP="006F6CF0">
      <w:pPr>
        <w:pStyle w:val="Lijstalinea"/>
        <w:numPr>
          <w:ilvl w:val="0"/>
          <w:numId w:val="3"/>
        </w:numPr>
      </w:pPr>
      <w:r>
        <w:t>L</w:t>
      </w:r>
      <w:r w:rsidR="00CF39D1">
        <w:t xml:space="preserve">aat het model voor een dossier afspraken en procedures voor </w:t>
      </w:r>
      <w:r w:rsidR="00A60A49">
        <w:t xml:space="preserve">duurzame toegankelijkheid (c.q. Archivering) </w:t>
      </w:r>
      <w:r w:rsidR="008D2DC5">
        <w:t>regionaal beheren en laat de ketenpartners op basis van dat model hun afspraken maken</w:t>
      </w:r>
      <w:r w:rsidR="00317DDD">
        <w:t xml:space="preserve"> en onderhouden</w:t>
      </w:r>
      <w:r w:rsidR="008D2DC5">
        <w:t>.</w:t>
      </w:r>
      <w:r w:rsidR="00BC6D82">
        <w:t xml:space="preserve"> Wijs als Utrechtse overheden een regionale beheerder aan.</w:t>
      </w:r>
    </w:p>
    <w:p w14:paraId="6A3BEB30" w14:textId="4BC2F6E6" w:rsidR="00080053" w:rsidRDefault="00080053" w:rsidP="006F6CF0">
      <w:pPr>
        <w:pStyle w:val="Lijstalinea"/>
        <w:numPr>
          <w:ilvl w:val="0"/>
          <w:numId w:val="3"/>
        </w:numPr>
      </w:pPr>
      <w:r>
        <w:t>Overweeg om de naam van deze samenwerkingsafspraken te veranderen van ‘Archivering’ in ‘Informatiehuishouding’.</w:t>
      </w:r>
    </w:p>
    <w:p w14:paraId="45ED0618" w14:textId="31C88FD8" w:rsidR="00AA6BE5" w:rsidRDefault="00AA6BE5" w:rsidP="006F6CF0">
      <w:pPr>
        <w:pStyle w:val="Lijstalinea"/>
        <w:numPr>
          <w:ilvl w:val="0"/>
          <w:numId w:val="3"/>
        </w:numPr>
      </w:pPr>
      <w:r>
        <w:t xml:space="preserve">Neem een bepaling in het bestuursconvenant </w:t>
      </w:r>
      <w:r w:rsidR="00143C45">
        <w:t>SOK op over het gemeenschappelijk belang van een betrouwbare informatiehuis</w:t>
      </w:r>
      <w:r w:rsidR="007574E0">
        <w:t>houding in de interbestuurlijke ketens.</w:t>
      </w:r>
    </w:p>
    <w:p w14:paraId="074C045D" w14:textId="079401E3" w:rsidR="00BC6D82" w:rsidRDefault="006F6CF0" w:rsidP="006F6CF0">
      <w:pPr>
        <w:pStyle w:val="Lijstalinea"/>
        <w:numPr>
          <w:ilvl w:val="0"/>
          <w:numId w:val="3"/>
        </w:numPr>
      </w:pPr>
      <w:r>
        <w:t>B</w:t>
      </w:r>
      <w:r w:rsidR="003679FE">
        <w:t xml:space="preserve">lijf vanuit de Regiosamenwerking inzetten op voorlichting aan regievoerders over </w:t>
      </w:r>
      <w:r w:rsidR="005A54F4">
        <w:t xml:space="preserve">de samenwerkingsafspraak Archivering. De </w:t>
      </w:r>
      <w:r w:rsidR="00A60E74">
        <w:t>feedback op de afspraken komt voor een deel voort uit on</w:t>
      </w:r>
      <w:r w:rsidR="009D77DA">
        <w:t xml:space="preserve">bekendheid met </w:t>
      </w:r>
      <w:r w:rsidR="00F36213">
        <w:t>de materie of beschikbare instrumenten.</w:t>
      </w:r>
    </w:p>
    <w:p w14:paraId="6D454989" w14:textId="77777777" w:rsidR="0025319B" w:rsidRDefault="0025319B"/>
    <w:p w14:paraId="2E881AFB" w14:textId="77777777" w:rsidR="004016B5" w:rsidRDefault="004016B5"/>
    <w:p w14:paraId="61567272" w14:textId="77777777" w:rsidR="007574E0" w:rsidRDefault="007574E0">
      <w:pPr>
        <w:spacing w:after="160" w:line="259" w:lineRule="auto"/>
        <w:rPr>
          <w:b/>
          <w:bCs/>
          <w:u w:val="single"/>
        </w:rPr>
      </w:pPr>
      <w:r>
        <w:rPr>
          <w:b/>
          <w:bCs/>
          <w:u w:val="single"/>
        </w:rPr>
        <w:br w:type="page"/>
      </w:r>
    </w:p>
    <w:p w14:paraId="7E02905E" w14:textId="54191564" w:rsidR="008D2DC5" w:rsidRPr="004016B5" w:rsidRDefault="00CC658D">
      <w:pPr>
        <w:rPr>
          <w:b/>
          <w:bCs/>
          <w:u w:val="single"/>
        </w:rPr>
      </w:pPr>
      <w:r>
        <w:rPr>
          <w:b/>
          <w:bCs/>
          <w:u w:val="single"/>
        </w:rPr>
        <w:t xml:space="preserve">2. </w:t>
      </w:r>
      <w:r w:rsidR="004016B5" w:rsidRPr="004016B5">
        <w:rPr>
          <w:b/>
          <w:bCs/>
          <w:u w:val="single"/>
        </w:rPr>
        <w:t>Bevindingen uit bijeenkomst Regiosamenwerking</w:t>
      </w:r>
      <w:r w:rsidR="00FF1235">
        <w:rPr>
          <w:b/>
          <w:bCs/>
          <w:u w:val="single"/>
        </w:rPr>
        <w:t>, 21 april</w:t>
      </w:r>
    </w:p>
    <w:p w14:paraId="73008449" w14:textId="77777777" w:rsidR="00617E7C" w:rsidRDefault="00617E7C"/>
    <w:p w14:paraId="4CE3A588" w14:textId="3234E5E8" w:rsidR="00AE70A7" w:rsidRPr="00E01745" w:rsidRDefault="00AE70A7" w:rsidP="00AE70A7">
      <w:pPr>
        <w:rPr>
          <w:b/>
          <w:bCs/>
        </w:rPr>
      </w:pPr>
      <w:r>
        <w:rPr>
          <w:b/>
          <w:bCs/>
        </w:rPr>
        <w:t>F</w:t>
      </w:r>
      <w:r w:rsidRPr="00E01745">
        <w:rPr>
          <w:b/>
          <w:bCs/>
        </w:rPr>
        <w:t xml:space="preserve">ormulering van de </w:t>
      </w:r>
      <w:r>
        <w:rPr>
          <w:b/>
          <w:bCs/>
        </w:rPr>
        <w:t>samenwerkings</w:t>
      </w:r>
      <w:r w:rsidRPr="00E01745">
        <w:rPr>
          <w:b/>
          <w:bCs/>
        </w:rPr>
        <w:t>afspraken</w:t>
      </w:r>
      <w:r>
        <w:rPr>
          <w:b/>
          <w:bCs/>
        </w:rPr>
        <w:t xml:space="preserve"> tot aan 21 april</w:t>
      </w:r>
      <w:r w:rsidRPr="00E01745">
        <w:rPr>
          <w:b/>
          <w:bCs/>
        </w:rPr>
        <w:t>:</w:t>
      </w:r>
    </w:p>
    <w:p w14:paraId="545234B6" w14:textId="0D7D7FD7" w:rsidR="00AE70A7" w:rsidRPr="00E01745" w:rsidRDefault="00AE70A7" w:rsidP="00867995">
      <w:r w:rsidRPr="00E01745">
        <w:rPr>
          <w:b/>
          <w:bCs/>
        </w:rPr>
        <w:t>1.</w:t>
      </w:r>
      <w:r w:rsidRPr="00E01745">
        <w:t xml:space="preserve"> </w:t>
      </w:r>
      <w:r w:rsidR="00867995" w:rsidRPr="00867995">
        <w:t>Partijen maken onderling afspraken over de inrichting van de informatiehuishouding in hun proces- en informatieketens onder de daarvoor relevante wetgeving.</w:t>
      </w:r>
      <w:r w:rsidR="00867995">
        <w:t xml:space="preserve"> </w:t>
      </w:r>
      <w:r w:rsidR="00867995" w:rsidRPr="00867995">
        <w:t>Dit doen zij op basis van uniforme basisprincipes die in de hele regio en keten worden gedeeld.</w:t>
      </w:r>
      <w:r w:rsidR="00867995">
        <w:t xml:space="preserve"> </w:t>
      </w:r>
      <w:r w:rsidR="00867995" w:rsidRPr="00867995">
        <w:t>Hiervoor wordt een model ‘dossier afspraken en procedures’ (DAP) gehanteerd.</w:t>
      </w:r>
      <w:r w:rsidR="000B6BC0">
        <w:t xml:space="preserve"> </w:t>
      </w:r>
      <w:r w:rsidR="00867995" w:rsidRPr="00867995">
        <w:t>Dit DAP wordt ingebed in de bredere samenwerkingsafspraken en het model wordt regionaal actueel en volledig gehouden.</w:t>
      </w:r>
      <w:r w:rsidR="008A7BD6">
        <w:t xml:space="preserve"> </w:t>
      </w:r>
      <w:r w:rsidRPr="00E01745">
        <w:rPr>
          <w:i/>
          <w:iCs/>
        </w:rPr>
        <w:t>Score 1: belangrijk/urgent</w:t>
      </w:r>
    </w:p>
    <w:p w14:paraId="13CDC247" w14:textId="77777777" w:rsidR="000B6BC0" w:rsidRPr="000B6BC0" w:rsidRDefault="00AE70A7" w:rsidP="000B6BC0">
      <w:r w:rsidRPr="00E01745">
        <w:rPr>
          <w:b/>
          <w:bCs/>
        </w:rPr>
        <w:t>2.</w:t>
      </w:r>
      <w:r w:rsidRPr="00E01745">
        <w:t xml:space="preserve"> </w:t>
      </w:r>
      <w:r w:rsidR="000B6BC0" w:rsidRPr="000B6BC0">
        <w:t>Partijen toetsen hun afspraken periodiek (bv. jaarlijks) aan de checklist DUTO-TODO van de Handreiking duurzame toegankelijkheid in de informatieketens van de Omgevingswet,</w:t>
      </w:r>
    </w:p>
    <w:p w14:paraId="70BD0FF1" w14:textId="74F4122D" w:rsidR="00AE70A7" w:rsidRDefault="000B6BC0" w:rsidP="000B6BC0">
      <w:r w:rsidRPr="000B6BC0">
        <w:t>en treffen waar nodig maatregelen voor verbetering</w:t>
      </w:r>
      <w:r w:rsidR="00AE70A7" w:rsidRPr="00E01745">
        <w:t>.</w:t>
      </w:r>
      <w:r w:rsidR="00AE70A7" w:rsidRPr="00E01745">
        <w:rPr>
          <w:i/>
          <w:iCs/>
        </w:rPr>
        <w:t xml:space="preserve"> Score 2: belangrijk/niet urgent</w:t>
      </w:r>
    </w:p>
    <w:p w14:paraId="0858ACA3" w14:textId="77777777" w:rsidR="00AE70A7" w:rsidRDefault="00AE70A7"/>
    <w:p w14:paraId="30AD2A5E" w14:textId="4328FC2B" w:rsidR="00071917" w:rsidRDefault="00071917">
      <w:r>
        <w:t xml:space="preserve">Een van de deelnemers bij de tweede sessie merkte op dat </w:t>
      </w:r>
      <w:r w:rsidR="00383512">
        <w:t xml:space="preserve">de tweede </w:t>
      </w:r>
      <w:r w:rsidR="0063043D">
        <w:t xml:space="preserve">zin nog duidelijker zou kunnen: het zou hier expliciet moeten gaan om </w:t>
      </w:r>
      <w:r w:rsidR="006D28F5">
        <w:t>het maken van de afspraken en het bewust handelen op basis daarvan</w:t>
      </w:r>
      <w:r w:rsidR="0011479F">
        <w:t xml:space="preserve">. Dit is verwerkt in de versie van het advies </w:t>
      </w:r>
      <w:r w:rsidR="00E217A4">
        <w:t>(zie paragraaf 1)</w:t>
      </w:r>
      <w:r w:rsidR="00F43D27">
        <w:t>.</w:t>
      </w:r>
    </w:p>
    <w:p w14:paraId="6A866183" w14:textId="77777777" w:rsidR="00316649" w:rsidRDefault="00316649"/>
    <w:p w14:paraId="05F6C454" w14:textId="77777777" w:rsidR="00316649" w:rsidRDefault="00316649"/>
    <w:p w14:paraId="28E36421" w14:textId="6CE13AF8" w:rsidR="00617E7C" w:rsidRPr="00617E7C" w:rsidRDefault="00CC658D">
      <w:pPr>
        <w:rPr>
          <w:b/>
          <w:bCs/>
          <w:u w:val="single"/>
        </w:rPr>
      </w:pPr>
      <w:r>
        <w:rPr>
          <w:b/>
          <w:bCs/>
          <w:u w:val="single"/>
        </w:rPr>
        <w:t xml:space="preserve">3. </w:t>
      </w:r>
      <w:r w:rsidR="00617E7C" w:rsidRPr="00617E7C">
        <w:rPr>
          <w:b/>
          <w:bCs/>
          <w:u w:val="single"/>
        </w:rPr>
        <w:t>Bevindingen van de verdiepingsgroep</w:t>
      </w:r>
      <w:r w:rsidR="00FF1235">
        <w:rPr>
          <w:b/>
          <w:bCs/>
          <w:u w:val="single"/>
        </w:rPr>
        <w:t>, 6 april</w:t>
      </w:r>
    </w:p>
    <w:p w14:paraId="0817C297" w14:textId="77777777" w:rsidR="00617E7C" w:rsidRDefault="00617E7C">
      <w:pPr>
        <w:rPr>
          <w:b/>
          <w:bCs/>
        </w:rPr>
      </w:pPr>
    </w:p>
    <w:p w14:paraId="346302AB" w14:textId="6A01B0AD" w:rsidR="00167C7C" w:rsidRPr="00E01745" w:rsidRDefault="00617E7C">
      <w:pPr>
        <w:rPr>
          <w:b/>
          <w:bCs/>
        </w:rPr>
      </w:pPr>
      <w:r>
        <w:rPr>
          <w:b/>
          <w:bCs/>
        </w:rPr>
        <w:t>F</w:t>
      </w:r>
      <w:r w:rsidR="00E01745" w:rsidRPr="00E01745">
        <w:rPr>
          <w:b/>
          <w:bCs/>
        </w:rPr>
        <w:t xml:space="preserve">ormulering van de </w:t>
      </w:r>
      <w:r w:rsidR="00684DD8">
        <w:rPr>
          <w:b/>
          <w:bCs/>
        </w:rPr>
        <w:t>samenwerkings</w:t>
      </w:r>
      <w:r w:rsidR="00E01745" w:rsidRPr="00E01745">
        <w:rPr>
          <w:b/>
          <w:bCs/>
        </w:rPr>
        <w:t>afspraken</w:t>
      </w:r>
      <w:r>
        <w:rPr>
          <w:b/>
          <w:bCs/>
        </w:rPr>
        <w:t xml:space="preserve"> tot aan 6 april</w:t>
      </w:r>
      <w:r w:rsidR="00E01745" w:rsidRPr="00E01745">
        <w:rPr>
          <w:b/>
          <w:bCs/>
        </w:rPr>
        <w:t>:</w:t>
      </w:r>
    </w:p>
    <w:p w14:paraId="11B57BF5" w14:textId="20856DF0" w:rsidR="00E01745" w:rsidRPr="00E01745" w:rsidRDefault="00E01745" w:rsidP="00E01745">
      <w:r w:rsidRPr="00E01745">
        <w:rPr>
          <w:b/>
          <w:bCs/>
        </w:rPr>
        <w:t>1.</w:t>
      </w:r>
      <w:r w:rsidRPr="00E01745">
        <w:t xml:space="preserve"> Partijen maken onderling afspraken over de inrichting van de informatiehuishouding (Wet open overheid en de Archiefwet) in hun proces- en informatieketens en streven hierbij naar uniformiteit gericht op zoveel mogelijk eenvormige afspraken. Deze afspraken verwijzen naar wat de Handreiking een ‘dossier afspraken en procedures’ (DAP) noemt.</w:t>
      </w:r>
      <w:r w:rsidR="008A7BD6">
        <w:t xml:space="preserve"> </w:t>
      </w:r>
      <w:r w:rsidRPr="00E01745">
        <w:rPr>
          <w:i/>
          <w:iCs/>
        </w:rPr>
        <w:t>Score 1: belangrijk/urgent</w:t>
      </w:r>
    </w:p>
    <w:p w14:paraId="2CAE72AE" w14:textId="6EA2C5E2" w:rsidR="00617E7C" w:rsidRDefault="00E01745">
      <w:r w:rsidRPr="00E01745">
        <w:rPr>
          <w:b/>
          <w:bCs/>
        </w:rPr>
        <w:t>2.</w:t>
      </w:r>
      <w:r w:rsidRPr="00E01745">
        <w:t xml:space="preserve"> Partijen toetsen hun afspraken periodiek (bv. jaarlijks) aan de checklist DUTO-TODO van de Handreiking duurzame toegankelijkheid in de informatieketens van de Omgevingswet, en treffen waar nodig maatregelen voor verbetering.</w:t>
      </w:r>
      <w:r w:rsidRPr="00E01745">
        <w:rPr>
          <w:i/>
          <w:iCs/>
        </w:rPr>
        <w:t xml:space="preserve"> Score 2: belangrijk/niet urgent</w:t>
      </w:r>
    </w:p>
    <w:p w14:paraId="2943A4C5" w14:textId="77777777" w:rsidR="00617E7C" w:rsidRDefault="00617E7C"/>
    <w:p w14:paraId="2A8BA079" w14:textId="0DE8E8B2" w:rsidR="00BD24EA" w:rsidRDefault="00BD24EA">
      <w:r>
        <w:t>Bij de verdiepingssessie zijn de discussies aan de hand van drie hoofdvragen gevoerd:</w:t>
      </w:r>
    </w:p>
    <w:p w14:paraId="69EB243D" w14:textId="77777777" w:rsidR="00BD24EA" w:rsidRDefault="00BD24EA"/>
    <w:p w14:paraId="7B57A345" w14:textId="2D2A4310" w:rsidR="00AF0F06" w:rsidRPr="00AF0F06" w:rsidRDefault="00AF0F06" w:rsidP="00AF0F06">
      <w:pPr>
        <w:rPr>
          <w:b/>
          <w:bCs/>
        </w:rPr>
      </w:pPr>
      <w:r w:rsidRPr="005624A1">
        <w:rPr>
          <w:b/>
          <w:bCs/>
        </w:rPr>
        <w:t xml:space="preserve">1. </w:t>
      </w:r>
      <w:r w:rsidRPr="00AF0F06">
        <w:rPr>
          <w:b/>
          <w:bCs/>
        </w:rPr>
        <w:t>Leidt de feedback tot aanpassing van de scores?</w:t>
      </w:r>
    </w:p>
    <w:p w14:paraId="59985760" w14:textId="36218C1D" w:rsidR="00AF0F06" w:rsidRDefault="00A7511E">
      <w:r>
        <w:t>De voorgestelde scores zijn vergeleken met de feedback hierop, op basis van aantallen:</w:t>
      </w:r>
    </w:p>
    <w:tbl>
      <w:tblPr>
        <w:tblStyle w:val="Tabelraster"/>
        <w:tblW w:w="0" w:type="auto"/>
        <w:tblLook w:val="04A0" w:firstRow="1" w:lastRow="0" w:firstColumn="1" w:lastColumn="0" w:noHBand="0" w:noVBand="1"/>
      </w:tblPr>
      <w:tblGrid>
        <w:gridCol w:w="1095"/>
        <w:gridCol w:w="1812"/>
        <w:gridCol w:w="1581"/>
        <w:gridCol w:w="1581"/>
        <w:gridCol w:w="1581"/>
      </w:tblGrid>
      <w:tr w:rsidR="00B04E7B" w:rsidRPr="00B04E7B" w14:paraId="39663FB6" w14:textId="77777777" w:rsidTr="00B04E7B">
        <w:tc>
          <w:tcPr>
            <w:tcW w:w="1095" w:type="dxa"/>
          </w:tcPr>
          <w:p w14:paraId="6271F8A8" w14:textId="2DF8F84A" w:rsidR="00B04E7B" w:rsidRPr="00B04E7B" w:rsidRDefault="00B04E7B">
            <w:pPr>
              <w:rPr>
                <w:b/>
                <w:bCs/>
              </w:rPr>
            </w:pPr>
            <w:r w:rsidRPr="00B04E7B">
              <w:rPr>
                <w:b/>
                <w:bCs/>
              </w:rPr>
              <w:t>afspraak</w:t>
            </w:r>
          </w:p>
        </w:tc>
        <w:tc>
          <w:tcPr>
            <w:tcW w:w="1812" w:type="dxa"/>
          </w:tcPr>
          <w:p w14:paraId="495D2AA3" w14:textId="7B2A7125" w:rsidR="00B04E7B" w:rsidRPr="00B04E7B" w:rsidRDefault="00B04E7B">
            <w:pPr>
              <w:rPr>
                <w:b/>
                <w:bCs/>
              </w:rPr>
            </w:pPr>
            <w:r w:rsidRPr="00B04E7B">
              <w:rPr>
                <w:b/>
                <w:bCs/>
              </w:rPr>
              <w:t>voorgestelde score</w:t>
            </w:r>
          </w:p>
        </w:tc>
        <w:tc>
          <w:tcPr>
            <w:tcW w:w="1581" w:type="dxa"/>
          </w:tcPr>
          <w:p w14:paraId="163979D9" w14:textId="0378F042" w:rsidR="00B04E7B" w:rsidRPr="00B04E7B" w:rsidRDefault="00B04E7B">
            <w:pPr>
              <w:rPr>
                <w:b/>
                <w:bCs/>
              </w:rPr>
            </w:pPr>
            <w:r w:rsidRPr="00B04E7B">
              <w:rPr>
                <w:b/>
                <w:bCs/>
              </w:rPr>
              <w:t>feedback score 1</w:t>
            </w:r>
          </w:p>
        </w:tc>
        <w:tc>
          <w:tcPr>
            <w:tcW w:w="1581" w:type="dxa"/>
          </w:tcPr>
          <w:p w14:paraId="36042A03" w14:textId="00989ECF" w:rsidR="00B04E7B" w:rsidRPr="00B04E7B" w:rsidRDefault="00B04E7B">
            <w:pPr>
              <w:rPr>
                <w:b/>
                <w:bCs/>
              </w:rPr>
            </w:pPr>
            <w:r w:rsidRPr="00B04E7B">
              <w:rPr>
                <w:b/>
                <w:bCs/>
              </w:rPr>
              <w:t>feedback score 2</w:t>
            </w:r>
          </w:p>
        </w:tc>
        <w:tc>
          <w:tcPr>
            <w:tcW w:w="1581" w:type="dxa"/>
          </w:tcPr>
          <w:p w14:paraId="58CC870F" w14:textId="7E11E1AC" w:rsidR="00B04E7B" w:rsidRPr="00B04E7B" w:rsidRDefault="00B04E7B">
            <w:pPr>
              <w:rPr>
                <w:b/>
                <w:bCs/>
              </w:rPr>
            </w:pPr>
            <w:r w:rsidRPr="00B04E7B">
              <w:rPr>
                <w:b/>
                <w:bCs/>
              </w:rPr>
              <w:t>feedback score 3</w:t>
            </w:r>
          </w:p>
        </w:tc>
      </w:tr>
      <w:tr w:rsidR="00B04E7B" w14:paraId="6AF23FC8" w14:textId="77777777" w:rsidTr="00B04E7B">
        <w:tc>
          <w:tcPr>
            <w:tcW w:w="1095" w:type="dxa"/>
          </w:tcPr>
          <w:p w14:paraId="22A70D39" w14:textId="4359F6AA" w:rsidR="00B04E7B" w:rsidRDefault="00B04E7B">
            <w:r>
              <w:t>1</w:t>
            </w:r>
          </w:p>
        </w:tc>
        <w:tc>
          <w:tcPr>
            <w:tcW w:w="1812" w:type="dxa"/>
          </w:tcPr>
          <w:p w14:paraId="7DB310F4" w14:textId="442DB46C" w:rsidR="00B04E7B" w:rsidRDefault="00B04E7B">
            <w:r>
              <w:t>1</w:t>
            </w:r>
          </w:p>
        </w:tc>
        <w:tc>
          <w:tcPr>
            <w:tcW w:w="1581" w:type="dxa"/>
          </w:tcPr>
          <w:p w14:paraId="599E6B42" w14:textId="7DC92D5C" w:rsidR="00B04E7B" w:rsidRDefault="00B04E7B">
            <w:r>
              <w:t>16</w:t>
            </w:r>
          </w:p>
        </w:tc>
        <w:tc>
          <w:tcPr>
            <w:tcW w:w="1581" w:type="dxa"/>
          </w:tcPr>
          <w:p w14:paraId="2D859E51" w14:textId="71D6B898" w:rsidR="00B04E7B" w:rsidRDefault="005624A1">
            <w:r>
              <w:t>8</w:t>
            </w:r>
          </w:p>
        </w:tc>
        <w:tc>
          <w:tcPr>
            <w:tcW w:w="1581" w:type="dxa"/>
          </w:tcPr>
          <w:p w14:paraId="7A174D02" w14:textId="5574A125" w:rsidR="00B04E7B" w:rsidRDefault="005624A1">
            <w:r>
              <w:t>2</w:t>
            </w:r>
          </w:p>
        </w:tc>
      </w:tr>
      <w:tr w:rsidR="00B04E7B" w14:paraId="5554CA19" w14:textId="77777777" w:rsidTr="00B04E7B">
        <w:tc>
          <w:tcPr>
            <w:tcW w:w="1095" w:type="dxa"/>
          </w:tcPr>
          <w:p w14:paraId="6A85D7CF" w14:textId="6D58B20B" w:rsidR="00B04E7B" w:rsidRDefault="00B04E7B">
            <w:r>
              <w:t>2</w:t>
            </w:r>
          </w:p>
        </w:tc>
        <w:tc>
          <w:tcPr>
            <w:tcW w:w="1812" w:type="dxa"/>
          </w:tcPr>
          <w:p w14:paraId="2BB51FA7" w14:textId="286F5FAA" w:rsidR="00B04E7B" w:rsidRDefault="00B04E7B">
            <w:r>
              <w:t>2</w:t>
            </w:r>
          </w:p>
        </w:tc>
        <w:tc>
          <w:tcPr>
            <w:tcW w:w="1581" w:type="dxa"/>
          </w:tcPr>
          <w:p w14:paraId="5E8C2262" w14:textId="7656E114" w:rsidR="00B04E7B" w:rsidRDefault="005624A1">
            <w:r>
              <w:t>8</w:t>
            </w:r>
          </w:p>
        </w:tc>
        <w:tc>
          <w:tcPr>
            <w:tcW w:w="1581" w:type="dxa"/>
          </w:tcPr>
          <w:p w14:paraId="410FE5D7" w14:textId="51D0413A" w:rsidR="00B04E7B" w:rsidRDefault="005624A1">
            <w:r>
              <w:t>14</w:t>
            </w:r>
          </w:p>
        </w:tc>
        <w:tc>
          <w:tcPr>
            <w:tcW w:w="1581" w:type="dxa"/>
          </w:tcPr>
          <w:p w14:paraId="19F13396" w14:textId="3D632D74" w:rsidR="00B04E7B" w:rsidRDefault="005624A1">
            <w:r>
              <w:t>4</w:t>
            </w:r>
          </w:p>
        </w:tc>
      </w:tr>
    </w:tbl>
    <w:p w14:paraId="33B06A9F" w14:textId="7709FB36" w:rsidR="00A7511E" w:rsidRDefault="00A7511E"/>
    <w:p w14:paraId="2F7AB79B" w14:textId="284EC9AB" w:rsidR="00D37318" w:rsidRDefault="00D37318">
      <w:r>
        <w:t>De inventarisatie van de scores is besproken</w:t>
      </w:r>
      <w:r w:rsidR="00906867">
        <w:t xml:space="preserve"> per afspraak. </w:t>
      </w:r>
      <w:r w:rsidR="00E6207D">
        <w:t xml:space="preserve">Op basis van de hoeveelheid scores concludeert de </w:t>
      </w:r>
      <w:r w:rsidR="000A4525">
        <w:t>verdiepings</w:t>
      </w:r>
      <w:r w:rsidR="00E6207D">
        <w:t>groep dat het niet nodig is om de scores van de twee afspraken aan te passen.</w:t>
      </w:r>
    </w:p>
    <w:p w14:paraId="37EC233E" w14:textId="77777777" w:rsidR="00AF0F06" w:rsidRDefault="00AF0F06"/>
    <w:p w14:paraId="65B45D69" w14:textId="3A6A1A88" w:rsidR="00167C7C" w:rsidRPr="005624A1" w:rsidRDefault="005624A1" w:rsidP="005624A1">
      <w:pPr>
        <w:rPr>
          <w:b/>
          <w:bCs/>
        </w:rPr>
      </w:pPr>
      <w:r w:rsidRPr="005624A1">
        <w:rPr>
          <w:b/>
          <w:bCs/>
        </w:rPr>
        <w:t xml:space="preserve">2. </w:t>
      </w:r>
      <w:r w:rsidR="00AF0F06" w:rsidRPr="00AF0F06">
        <w:rPr>
          <w:b/>
          <w:bCs/>
        </w:rPr>
        <w:t>Leiden de opmerkingen/suggesties tot aanpassingen of aanvullingen; is er meer voorlichting nodig?</w:t>
      </w:r>
    </w:p>
    <w:p w14:paraId="473A5117" w14:textId="0F1FC240" w:rsidR="008F7CD2" w:rsidRDefault="00AB6B3A">
      <w:r>
        <w:t>Aanscherping van de conceptafspraken</w:t>
      </w:r>
      <w:r w:rsidR="00906172">
        <w:t xml:space="preserve"> is inhoudelijk besproken o.b.v. de ingebrachte feedback</w:t>
      </w:r>
      <w:r w:rsidR="00F56F43">
        <w:t>. Een aantal feedback punten is gecombineerd besproken op dia’s</w:t>
      </w:r>
      <w:r w:rsidR="005E7FEC">
        <w:t>.</w:t>
      </w:r>
      <w:r w:rsidR="008034AF">
        <w:t xml:space="preserve"> De bevindingen </w:t>
      </w:r>
      <w:r w:rsidR="00E672EF">
        <w:t xml:space="preserve">van de verdiepingsgroep </w:t>
      </w:r>
      <w:r w:rsidR="008034AF">
        <w:t xml:space="preserve">hieronder zijn </w:t>
      </w:r>
      <w:r w:rsidR="00E672EF">
        <w:t>aldus gecombineerd.</w:t>
      </w:r>
    </w:p>
    <w:p w14:paraId="51F3BEE8" w14:textId="77777777" w:rsidR="00E672EF" w:rsidRDefault="00E672EF"/>
    <w:tbl>
      <w:tblPr>
        <w:tblStyle w:val="Tabelraster"/>
        <w:tblW w:w="9209" w:type="dxa"/>
        <w:tblLook w:val="04A0" w:firstRow="1" w:lastRow="0" w:firstColumn="1" w:lastColumn="0" w:noHBand="0" w:noVBand="1"/>
      </w:tblPr>
      <w:tblGrid>
        <w:gridCol w:w="528"/>
        <w:gridCol w:w="4340"/>
        <w:gridCol w:w="4341"/>
      </w:tblGrid>
      <w:tr w:rsidR="00912E91" w14:paraId="62A1C0B9" w14:textId="77777777" w:rsidTr="00912E91">
        <w:tc>
          <w:tcPr>
            <w:tcW w:w="528" w:type="dxa"/>
          </w:tcPr>
          <w:p w14:paraId="3681F88E" w14:textId="425F2DD2" w:rsidR="00912E91" w:rsidRPr="00747A5A" w:rsidRDefault="00912E91">
            <w:pPr>
              <w:rPr>
                <w:b/>
                <w:bCs/>
              </w:rPr>
            </w:pPr>
            <w:proofErr w:type="spellStart"/>
            <w:r>
              <w:rPr>
                <w:b/>
                <w:bCs/>
              </w:rPr>
              <w:t>nr</w:t>
            </w:r>
            <w:proofErr w:type="spellEnd"/>
          </w:p>
        </w:tc>
        <w:tc>
          <w:tcPr>
            <w:tcW w:w="4340" w:type="dxa"/>
          </w:tcPr>
          <w:p w14:paraId="4CEF02E7" w14:textId="6CE07333" w:rsidR="00912E91" w:rsidRPr="00747A5A" w:rsidRDefault="00912E91">
            <w:pPr>
              <w:rPr>
                <w:b/>
                <w:bCs/>
              </w:rPr>
            </w:pPr>
            <w:r w:rsidRPr="00747A5A">
              <w:rPr>
                <w:b/>
                <w:bCs/>
              </w:rPr>
              <w:t xml:space="preserve">Feedback op </w:t>
            </w:r>
            <w:r>
              <w:rPr>
                <w:b/>
                <w:bCs/>
              </w:rPr>
              <w:t>afspraken Archivering</w:t>
            </w:r>
          </w:p>
        </w:tc>
        <w:tc>
          <w:tcPr>
            <w:tcW w:w="4341" w:type="dxa"/>
          </w:tcPr>
          <w:p w14:paraId="084F3B47" w14:textId="16F22998" w:rsidR="00912E91" w:rsidRPr="00747A5A" w:rsidRDefault="00912E91">
            <w:pPr>
              <w:rPr>
                <w:b/>
                <w:bCs/>
              </w:rPr>
            </w:pPr>
            <w:r w:rsidRPr="00747A5A">
              <w:rPr>
                <w:b/>
                <w:bCs/>
              </w:rPr>
              <w:t>Bevindingen verdiepingsgroep</w:t>
            </w:r>
          </w:p>
        </w:tc>
      </w:tr>
      <w:tr w:rsidR="00912E91" w14:paraId="590BD404" w14:textId="77777777" w:rsidTr="00912E91">
        <w:tc>
          <w:tcPr>
            <w:tcW w:w="528" w:type="dxa"/>
          </w:tcPr>
          <w:p w14:paraId="555C301C" w14:textId="244DEB72" w:rsidR="00912E91" w:rsidRDefault="00912E91" w:rsidP="00E672EF">
            <w:r>
              <w:t>1</w:t>
            </w:r>
          </w:p>
        </w:tc>
        <w:tc>
          <w:tcPr>
            <w:tcW w:w="4340" w:type="dxa"/>
          </w:tcPr>
          <w:p w14:paraId="730D7204" w14:textId="5812693D" w:rsidR="00912E91" w:rsidRDefault="00912E91" w:rsidP="00E672EF">
            <w:r>
              <w:t>“De ketenpartners archiveren de zaken waarvoor zij gemandateerd zijn door het bevoegd gezag. Indien mandatering van archivering in SOK thuishoort.”</w:t>
            </w:r>
          </w:p>
          <w:p w14:paraId="726B604E" w14:textId="7E4ED561" w:rsidR="00912E91" w:rsidRDefault="00912E91" w:rsidP="00E672EF">
            <w:r>
              <w:t>“Het is belangrijk, zeker als behandeldiensten rechtstreeks verzoeken krijgen en in voorkomende gevallen, dat er terugkoppeling komt van originele documenten. Gemeente als bevoegd gezag heeft archiefplicht.”</w:t>
            </w:r>
          </w:p>
        </w:tc>
        <w:tc>
          <w:tcPr>
            <w:tcW w:w="4341" w:type="dxa"/>
          </w:tcPr>
          <w:p w14:paraId="7896E54F" w14:textId="33B8B59F" w:rsidR="00912E91" w:rsidRDefault="00912E91">
            <w:r>
              <w:t>Hierin zit een behoefte aan een nadere duiding van het begrip ‘ketenpartner’ (is niet gelijk aan ‘behandeldienst’), en het verschil tussen bestuurlijk zorgdragerschap onder de Archiefwet (aangeduid als ‘archiefplicht’) en mandatering voor informatiebeheer.</w:t>
            </w:r>
          </w:p>
          <w:p w14:paraId="1C5A8E25" w14:textId="4E0979BC" w:rsidR="00912E91" w:rsidRDefault="00912E91">
            <w:r>
              <w:t>Het heeft dan meer nut om aanvullend voorlichting te geven op dergelijke begrippen en de mogelijkheden, dan het heeft om de SOK aan te passen.</w:t>
            </w:r>
          </w:p>
        </w:tc>
      </w:tr>
      <w:tr w:rsidR="00912E91" w14:paraId="2BDD39C2" w14:textId="77777777" w:rsidTr="00912E91">
        <w:tc>
          <w:tcPr>
            <w:tcW w:w="528" w:type="dxa"/>
          </w:tcPr>
          <w:p w14:paraId="4A951B46" w14:textId="1B77F84D" w:rsidR="00912E91" w:rsidRDefault="00921516" w:rsidP="00747A5A">
            <w:r>
              <w:t>2</w:t>
            </w:r>
          </w:p>
        </w:tc>
        <w:tc>
          <w:tcPr>
            <w:tcW w:w="4340" w:type="dxa"/>
          </w:tcPr>
          <w:p w14:paraId="09E94F59" w14:textId="167CBE16" w:rsidR="00912E91" w:rsidRDefault="00912E91" w:rsidP="00747A5A">
            <w:r>
              <w:t>“Vanuit onze collega's DIM/DAP wordt aangegeven dat men graag eerst in de regionale werkgroep wordt nagegaan hoe hier tegen aan wordt gekeken, voordat ingestemd. Score is wel toegekend.”​</w:t>
            </w:r>
          </w:p>
          <w:p w14:paraId="76D2D1A4" w14:textId="38D3839A" w:rsidR="00912E91" w:rsidRDefault="00912E91" w:rsidP="00747A5A">
            <w:r>
              <w:t>“[Dit zijn] procesafspraken. Voegt nu niets toe, de afspraken moeten nog komen. Er moet nog document komen waar dit uitgaat blijken.”</w:t>
            </w:r>
          </w:p>
          <w:p w14:paraId="35D18E99" w14:textId="6F59B3B5" w:rsidR="00912E91" w:rsidRDefault="00912E91" w:rsidP="00747A5A">
            <w:r>
              <w:t>“Dit is inhoudelijk geen afspraak, we vinden een concrete afspraak hierover wel belangrijk.”</w:t>
            </w:r>
          </w:p>
        </w:tc>
        <w:tc>
          <w:tcPr>
            <w:tcW w:w="4341" w:type="dxa"/>
          </w:tcPr>
          <w:p w14:paraId="435841B3" w14:textId="37CF9A2A" w:rsidR="00912E91" w:rsidRDefault="00912E91">
            <w:r>
              <w:t xml:space="preserve">In de afspraken wordt verwezen naar de ‘Handreiking duurzame toegankelijkheid in de procesketens van de Omgevingswet’. Daar staat de inhoud waar blijkens deze feedback behoefte aan is. Dat zou in de afspraak duidelijker moeten zijn, of ondervangen met voorlichting. </w:t>
            </w:r>
            <w:r w:rsidR="00CD2959">
              <w:t xml:space="preserve">In het eerste geval moet het mogelijk zijn om vanuit de afspraak te verwijzen. </w:t>
            </w:r>
            <w:r>
              <w:t xml:space="preserve">Voorstellen om deze doelgroep ook te bedienen in de </w:t>
            </w:r>
            <w:proofErr w:type="spellStart"/>
            <w:r>
              <w:t>webinar</w:t>
            </w:r>
            <w:proofErr w:type="spellEnd"/>
            <w:r>
              <w:t xml:space="preserve"> over DUTO en Regiosamenwerking op 19 mei.</w:t>
            </w:r>
          </w:p>
        </w:tc>
      </w:tr>
      <w:tr w:rsidR="00912E91" w14:paraId="1817C158" w14:textId="77777777" w:rsidTr="00912E91">
        <w:tc>
          <w:tcPr>
            <w:tcW w:w="528" w:type="dxa"/>
          </w:tcPr>
          <w:p w14:paraId="2D05DE0C" w14:textId="647D55C9" w:rsidR="00912E91" w:rsidRDefault="00921516" w:rsidP="00556D68">
            <w:r>
              <w:t>3</w:t>
            </w:r>
          </w:p>
        </w:tc>
        <w:tc>
          <w:tcPr>
            <w:tcW w:w="4340" w:type="dxa"/>
          </w:tcPr>
          <w:p w14:paraId="01921C55" w14:textId="190341F4" w:rsidR="00912E91" w:rsidRDefault="00912E91" w:rsidP="00556D68">
            <w:r>
              <w:t>“Wel gemeentelijke vrijheid hoe in te richten.”​</w:t>
            </w:r>
          </w:p>
          <w:p w14:paraId="60FD9720" w14:textId="4816F31E" w:rsidR="00912E91" w:rsidRDefault="00912E91" w:rsidP="00556D68">
            <w:r>
              <w:t xml:space="preserve">“In strijd met gemeentelijke vrijheid om het naar eigen wens en behoefte in te richten. We weten te weinig over archivering onder Ow om hierover afspraken te maken. Wat is de relatie met Common </w:t>
            </w:r>
            <w:proofErr w:type="spellStart"/>
            <w:r>
              <w:t>Ground</w:t>
            </w:r>
            <w:proofErr w:type="spellEnd"/>
            <w:r>
              <w:t>? Moeten we niet uitgaan het bevoegd gezag waar de archivering compleet moet zijn. Dat moeten andere ketenpartners ondersteunen en kunnen raadplegen. Misschien beter duidelijk verwijzen naar dossieropbouw (hoofdstukindeling/ordening). Wat verwachten we van een registratie? Snelheid, raadpleegbaarheid, vindbaarheid informatie voor ketenpartners etc.? Een DAP zonder SLA is een schip dat vaart zonder te weten waar naar toe.”</w:t>
            </w:r>
          </w:p>
        </w:tc>
        <w:tc>
          <w:tcPr>
            <w:tcW w:w="4341" w:type="dxa"/>
          </w:tcPr>
          <w:p w14:paraId="37BB682E" w14:textId="049AA3E7" w:rsidR="00912E91" w:rsidRDefault="00912E91">
            <w:r>
              <w:t>Dit was een belangrijk bespreekpunt: de Omgevingswet en het DSO gaan sterk uit van uitwisseling van informatie tussen overheden en het principe van bronhouderschap. Dit veronderstelt dat je daar interbestuurlijke afspraken over maakt, en dat je jouw informatiehuishouding daarop inricht: dus waar zitten de interacties met en behoeften van andere overheden? Dit hoeft niet op gespannen voet te staan met wat wordt aangeduid als ‘gemeentelijke vrijheid’, maar je moet wel duidelijk afspreken wat dit betekent.</w:t>
            </w:r>
          </w:p>
          <w:p w14:paraId="7B9B83AF" w14:textId="76E4029A" w:rsidR="00912E91" w:rsidRDefault="00912E91">
            <w:r>
              <w:t>Een ander belangrijk punt in deze feedback is de inbedding: een DAP heeft inderdaad een bovenliggend kader nodig. Dit kan een SLA zijn, of bijvoorbeeld een convenant als er geen sprake is van een mandaatrelatie.</w:t>
            </w:r>
          </w:p>
        </w:tc>
      </w:tr>
      <w:tr w:rsidR="00912E91" w14:paraId="18A2A79C" w14:textId="77777777" w:rsidTr="00912E91">
        <w:tc>
          <w:tcPr>
            <w:tcW w:w="528" w:type="dxa"/>
          </w:tcPr>
          <w:p w14:paraId="32B1AC10" w14:textId="3750DDDE" w:rsidR="00912E91" w:rsidRDefault="00921516">
            <w:r>
              <w:t>4</w:t>
            </w:r>
          </w:p>
        </w:tc>
        <w:tc>
          <w:tcPr>
            <w:tcW w:w="4340" w:type="dxa"/>
          </w:tcPr>
          <w:p w14:paraId="62610EAE" w14:textId="3BAB38E0" w:rsidR="00912E91" w:rsidRDefault="00912E91">
            <w:r>
              <w:t>“</w:t>
            </w:r>
            <w:r w:rsidRPr="0014203C">
              <w:t>Het SOK is initiatiefnemer voor het opstellen van een DAP en stelt een generiek DAP op in het belang van de Bedrijfsvoering van het SOK. Daaraan wordt een specifiek DAP (paragraaf per gemandateerde partij) toegevoegd gericht op de lokale gebruiken/omstandigheden van elk van de participerende partners. Denk daarbij aan toepassing interne regelgeving op het gebied van informatiebeheer zoals bewaarcondities, vernietiging van informatie, etc.</w:t>
            </w:r>
            <w:r>
              <w:t>”</w:t>
            </w:r>
          </w:p>
        </w:tc>
        <w:tc>
          <w:tcPr>
            <w:tcW w:w="4341" w:type="dxa"/>
          </w:tcPr>
          <w:p w14:paraId="407D0E84" w14:textId="17F28388" w:rsidR="00912E91" w:rsidRDefault="00912E91">
            <w:r w:rsidRPr="00B34068">
              <w:t xml:space="preserve">Dit werd bevestigd door de verdiepingsgroep. Een model is nodig om in de keten afspraken te maken </w:t>
            </w:r>
            <w:r>
              <w:t>die voor uitwisseling tussen meerdere partijen uniform moeten zijn, zoals een waterschap of de provincie met meerdere gemeenten.</w:t>
            </w:r>
          </w:p>
        </w:tc>
      </w:tr>
      <w:tr w:rsidR="00912E91" w14:paraId="28DEBEC5" w14:textId="77777777" w:rsidTr="00912E91">
        <w:tc>
          <w:tcPr>
            <w:tcW w:w="528" w:type="dxa"/>
          </w:tcPr>
          <w:p w14:paraId="333BDAA8" w14:textId="345C67B7" w:rsidR="00912E91" w:rsidRDefault="00921516" w:rsidP="0010712D">
            <w:r>
              <w:t>5</w:t>
            </w:r>
          </w:p>
        </w:tc>
        <w:tc>
          <w:tcPr>
            <w:tcW w:w="4340" w:type="dxa"/>
          </w:tcPr>
          <w:p w14:paraId="4AC48975" w14:textId="33613505" w:rsidR="00912E91" w:rsidRDefault="00912E91" w:rsidP="0010712D">
            <w:r>
              <w:t>“[Zijn afspraken over informatiehuishouding] relevant? Niet bekend met de handreiking.​</w:t>
            </w:r>
          </w:p>
          <w:p w14:paraId="3304D45A" w14:textId="203B57C2" w:rsidR="00912E91" w:rsidRDefault="00912E91" w:rsidP="0010712D">
            <w:r>
              <w:t>Willen we [de periodieke toetsing] jaarlijks doen en niet zodra nodig?”</w:t>
            </w:r>
          </w:p>
        </w:tc>
        <w:tc>
          <w:tcPr>
            <w:tcW w:w="4341" w:type="dxa"/>
          </w:tcPr>
          <w:p w14:paraId="5F3FE35A" w14:textId="46DF2E89" w:rsidR="00912E91" w:rsidRDefault="00912E91">
            <w:r>
              <w:t>De eerste opmerking wijst op een belangrijk voorlichtingspunt</w:t>
            </w:r>
            <w:r w:rsidR="00097F84">
              <w:t xml:space="preserve"> (zie ook nr. 1)</w:t>
            </w:r>
            <w:r>
              <w:t>: verwijzen naar welke handreiking het hier dan betreft. Overigens is een van de collega’s bij respondent wel bekend met die handreiking</w:t>
            </w:r>
            <w:r w:rsidR="00097F84">
              <w:t>, dus het is ook afhankelijk van interne communicatie.</w:t>
            </w:r>
          </w:p>
          <w:p w14:paraId="5B5361E0" w14:textId="1053C5BD" w:rsidR="00912E91" w:rsidRDefault="00912E91">
            <w:r>
              <w:t>De tweede opmerking raakt aan een principe van periodieke toetsing: je weet pas dat het nodig is als je getoetst hebt. Over de frequentie en intensiteit waarmee je toetst, moet je SMART afspraken maken. Dat geldt eigenlijk voor alle samenwerkingsafspraken.</w:t>
            </w:r>
          </w:p>
        </w:tc>
      </w:tr>
      <w:tr w:rsidR="00912E91" w14:paraId="418B96EC" w14:textId="77777777" w:rsidTr="00912E91">
        <w:tc>
          <w:tcPr>
            <w:tcW w:w="528" w:type="dxa"/>
          </w:tcPr>
          <w:p w14:paraId="722B69DA" w14:textId="580397B1" w:rsidR="00912E91" w:rsidRDefault="00921516" w:rsidP="00890E1E">
            <w:r>
              <w:t>6</w:t>
            </w:r>
          </w:p>
        </w:tc>
        <w:tc>
          <w:tcPr>
            <w:tcW w:w="4340" w:type="dxa"/>
          </w:tcPr>
          <w:p w14:paraId="7B28D4B3" w14:textId="31A3C0E2" w:rsidR="00912E91" w:rsidRDefault="00912E91" w:rsidP="00890E1E">
            <w:r>
              <w:t>“Concreet tekstvoorstel voor een missende afspraak die urgent en belangrijk is:​</w:t>
            </w:r>
          </w:p>
          <w:p w14:paraId="6874C9D1" w14:textId="30FD0417" w:rsidR="00912E91" w:rsidRPr="00890E1E" w:rsidRDefault="00912E91" w:rsidP="00890E1E">
            <w:pPr>
              <w:rPr>
                <w:i/>
                <w:iCs/>
              </w:rPr>
            </w:pPr>
            <w:r w:rsidRPr="00890E1E">
              <w:rPr>
                <w:i/>
                <w:iCs/>
              </w:rPr>
              <w:t>De deelnemende, adviserende en/of handhavende partij krijgt inzage in de verwerking van het advies en de zaak door het bevoegde gezag dat de zaak beheert. Bijvoorbeeld bij een definitieve beschikking.</w:t>
            </w:r>
          </w:p>
          <w:p w14:paraId="42F0A0AB" w14:textId="37B95440" w:rsidR="00912E91" w:rsidRDefault="00912E91" w:rsidP="00890E1E">
            <w:r>
              <w:t>Dit is van belang bij bv handhaving door het waterschap wanneer een gemeente de zaak beheert.”</w:t>
            </w:r>
          </w:p>
        </w:tc>
        <w:tc>
          <w:tcPr>
            <w:tcW w:w="4341" w:type="dxa"/>
          </w:tcPr>
          <w:p w14:paraId="24508F06" w14:textId="4640564E" w:rsidR="00912E91" w:rsidRDefault="00912E91" w:rsidP="00FF1755">
            <w:r>
              <w:t>Dit is</w:t>
            </w:r>
            <w:r w:rsidR="00097F84">
              <w:t xml:space="preserve"> volgens de verdiepingsgroep</w:t>
            </w:r>
            <w:r>
              <w:t xml:space="preserve"> inderdaad van belang, maar is ook al vervat als te maken afspraken in de checklist DUTO-TODO (deelaspecten B6 en B2). Je gaat ze dus al tegenkomen. Besproken is of dit aandachtspunt dermate groot is, dat je ook boven de checklist een expliciete samenwerkingsafspraak moet opstellen. Dat was geen uitgemaakte zaak.</w:t>
            </w:r>
            <w:r w:rsidR="00102E1D">
              <w:t xml:space="preserve"> Opteren om dit mee te nemen in aanvullende voorlichting.</w:t>
            </w:r>
          </w:p>
        </w:tc>
      </w:tr>
      <w:tr w:rsidR="00912E91" w14:paraId="07C25AB9" w14:textId="77777777" w:rsidTr="00912E91">
        <w:tc>
          <w:tcPr>
            <w:tcW w:w="528" w:type="dxa"/>
          </w:tcPr>
          <w:p w14:paraId="6021DBDC" w14:textId="1CDF54B1" w:rsidR="00912E91" w:rsidRDefault="00921516" w:rsidP="002933C8">
            <w:r>
              <w:t>7</w:t>
            </w:r>
          </w:p>
        </w:tc>
        <w:tc>
          <w:tcPr>
            <w:tcW w:w="4340" w:type="dxa"/>
          </w:tcPr>
          <w:p w14:paraId="3EDA417D" w14:textId="4258B4EE" w:rsidR="00912E91" w:rsidRDefault="00912E91" w:rsidP="002933C8">
            <w:r>
              <w:t xml:space="preserve">“In die samenwerkingsovereenkomst een of meerdere artikelen opnemen over informatiebeheer. Probeer dan het woord </w:t>
            </w:r>
            <w:r w:rsidRPr="002933C8">
              <w:rPr>
                <w:i/>
                <w:iCs/>
              </w:rPr>
              <w:t>archief</w:t>
            </w:r>
            <w:r>
              <w:t xml:space="preserve">beheer te vermijden; archaïsch aangezien het </w:t>
            </w:r>
            <w:r w:rsidRPr="002933C8">
              <w:rPr>
                <w:i/>
                <w:iCs/>
              </w:rPr>
              <w:t>informatie</w:t>
            </w:r>
            <w:r>
              <w:t>beheer louter digitaal zal worden uitgevoerd.​</w:t>
            </w:r>
          </w:p>
          <w:p w14:paraId="361926A9" w14:textId="491A120D" w:rsidR="00912E91" w:rsidRDefault="00912E91" w:rsidP="002933C8">
            <w:r>
              <w:t>Vooral bepalingen opnemen die te maken hebben met informatiebeveiliging, toegankelijkheid en duurzaamheid.”</w:t>
            </w:r>
          </w:p>
        </w:tc>
        <w:tc>
          <w:tcPr>
            <w:tcW w:w="4341" w:type="dxa"/>
          </w:tcPr>
          <w:p w14:paraId="7DECFD67" w14:textId="044617ED" w:rsidR="00912E91" w:rsidRDefault="00912E91">
            <w:r>
              <w:t xml:space="preserve">Dat </w:t>
            </w:r>
            <w:r w:rsidR="00102E1D">
              <w:t>gegeven wordt onderkend door de verdiepingsgroep</w:t>
            </w:r>
            <w:r>
              <w:t xml:space="preserve">, maar ligt meer aan de </w:t>
            </w:r>
            <w:r w:rsidR="00102E1D">
              <w:t xml:space="preserve">connotatie </w:t>
            </w:r>
            <w:r>
              <w:t xml:space="preserve">die </w:t>
            </w:r>
            <w:r w:rsidR="00102E1D">
              <w:t>het</w:t>
            </w:r>
            <w:r>
              <w:t xml:space="preserve"> begrip </w:t>
            </w:r>
            <w:r w:rsidR="00102E1D">
              <w:t xml:space="preserve">‘archief’ </w:t>
            </w:r>
            <w:r>
              <w:t xml:space="preserve">oproept. De </w:t>
            </w:r>
            <w:r w:rsidR="00102E1D">
              <w:t xml:space="preserve">DUTO-TODO </w:t>
            </w:r>
            <w:r>
              <w:t>checklist vermijdt deze term</w:t>
            </w:r>
            <w:r w:rsidR="00102E1D">
              <w:t xml:space="preserve"> waar mogelijk</w:t>
            </w:r>
            <w:r>
              <w:t>, maar in de handreiking wordt in paragraaf 1.2 ook het gebruik van de term ‘archiveren’ in (de kaderstukken van) het DSO geduid.</w:t>
            </w:r>
          </w:p>
        </w:tc>
      </w:tr>
    </w:tbl>
    <w:p w14:paraId="18E2BD2C" w14:textId="77777777" w:rsidR="00E672EF" w:rsidRDefault="00E672EF"/>
    <w:p w14:paraId="480177F8" w14:textId="59162B85" w:rsidR="00141D37" w:rsidRDefault="00141D37">
      <w:r>
        <w:t xml:space="preserve">Ten aanzien van de </w:t>
      </w:r>
      <w:r w:rsidR="000D3A00">
        <w:t>conceptafspraken zelf, tijdens en na behandeling van het bovenstaande, zijn de bevindingen van de verdiepingsgroep als volgt:</w:t>
      </w:r>
    </w:p>
    <w:p w14:paraId="7F089421" w14:textId="77777777" w:rsidR="00E43D18" w:rsidRDefault="00E43D18"/>
    <w:p w14:paraId="4E00E32D" w14:textId="14875F52" w:rsidR="00132234" w:rsidRPr="00395F37" w:rsidRDefault="00733034">
      <w:pPr>
        <w:rPr>
          <w:b/>
          <w:bCs/>
        </w:rPr>
      </w:pPr>
      <w:r>
        <w:rPr>
          <w:b/>
          <w:bCs/>
        </w:rPr>
        <w:t>Samenwerkings</w:t>
      </w:r>
      <w:r w:rsidR="007A4950">
        <w:rPr>
          <w:b/>
          <w:bCs/>
        </w:rPr>
        <w:t>a</w:t>
      </w:r>
      <w:r w:rsidR="00E43D18">
        <w:rPr>
          <w:b/>
          <w:bCs/>
        </w:rPr>
        <w:t xml:space="preserve">fspraak </w:t>
      </w:r>
      <w:r w:rsidR="007A4950">
        <w:rPr>
          <w:b/>
          <w:bCs/>
        </w:rPr>
        <w:t xml:space="preserve">Archivering </w:t>
      </w:r>
      <w:r w:rsidR="00132234" w:rsidRPr="00395F37">
        <w:rPr>
          <w:b/>
          <w:bCs/>
        </w:rPr>
        <w:t>1</w:t>
      </w:r>
    </w:p>
    <w:p w14:paraId="2FCB245F" w14:textId="3361C4D1" w:rsidR="008F7CD2" w:rsidRDefault="00132234">
      <w:r>
        <w:t>D</w:t>
      </w:r>
      <w:r w:rsidR="008F7CD2">
        <w:t xml:space="preserve">e tweede </w:t>
      </w:r>
      <w:r w:rsidR="00906172">
        <w:t xml:space="preserve">helft van de eerste </w:t>
      </w:r>
      <w:r w:rsidR="008F7CD2">
        <w:t>zin</w:t>
      </w:r>
      <w:r w:rsidR="00536A0D">
        <w:t xml:space="preserve"> zou </w:t>
      </w:r>
      <w:r w:rsidR="00087902">
        <w:t xml:space="preserve">duidelijker </w:t>
      </w:r>
      <w:r w:rsidR="00536A0D">
        <w:t>moeten</w:t>
      </w:r>
      <w:r w:rsidR="005D7FB6">
        <w:t xml:space="preserve">: we ‘streven’ niet naar uniformiteit en zoveel mogelijk afspraken, maar </w:t>
      </w:r>
      <w:r w:rsidR="00F93854">
        <w:t xml:space="preserve">we maken afspraken op basis van uniforme basisprincipes </w:t>
      </w:r>
      <w:r w:rsidR="00395F37">
        <w:t>die in de hele regio en keten worden gedeeld.</w:t>
      </w:r>
    </w:p>
    <w:p w14:paraId="1BBB003E" w14:textId="617BF96C" w:rsidR="0086710A" w:rsidRDefault="00536A0D">
      <w:r>
        <w:t xml:space="preserve">Laat de afspraken tussen twee ketenpartners </w:t>
      </w:r>
      <w:r w:rsidR="00296BB4">
        <w:t xml:space="preserve">uitgaan </w:t>
      </w:r>
      <w:r w:rsidR="008F7CD2">
        <w:t>van regionale basisafspraken in een model-DAP</w:t>
      </w:r>
      <w:r w:rsidR="00296BB4">
        <w:t xml:space="preserve">, waar alle partijen zich aan committeren. </w:t>
      </w:r>
      <w:r w:rsidR="000C4490">
        <w:t xml:space="preserve">Dus basisprincipes als volledigheid van zaakdossiers over de </w:t>
      </w:r>
      <w:r w:rsidR="003077A3">
        <w:t xml:space="preserve">partijen in de </w:t>
      </w:r>
      <w:r w:rsidR="000C4490">
        <w:t>keten</w:t>
      </w:r>
      <w:r w:rsidR="00455806">
        <w:t xml:space="preserve"> en</w:t>
      </w:r>
      <w:r w:rsidR="000C4490">
        <w:t xml:space="preserve"> eenduidige uitwisseling van metagegevens</w:t>
      </w:r>
      <w:r w:rsidR="00DE02A4">
        <w:t xml:space="preserve">. Die basisprincipes hoeven niet inhoudelijk in de samenwerkingsafspraken op dit niveau, maar zouden wel een niveau dieper in model-DAP eensluidend </w:t>
      </w:r>
      <w:r w:rsidR="00901640">
        <w:t xml:space="preserve">moeten </w:t>
      </w:r>
      <w:r w:rsidR="00DE02A4">
        <w:t>zijn voor alle</w:t>
      </w:r>
      <w:r w:rsidR="008E7B52">
        <w:t xml:space="preserve"> partijen</w:t>
      </w:r>
      <w:r w:rsidR="00901640">
        <w:t xml:space="preserve"> om goed te werken</w:t>
      </w:r>
      <w:r w:rsidR="008E7B52">
        <w:t>.</w:t>
      </w:r>
    </w:p>
    <w:p w14:paraId="7C66FD32" w14:textId="0AD0F729" w:rsidR="00AB6B3A" w:rsidRDefault="00395F37">
      <w:r>
        <w:t>Bijvoorbeeld</w:t>
      </w:r>
      <w:r w:rsidR="0086710A">
        <w:t>:</w:t>
      </w:r>
      <w:r>
        <w:t xml:space="preserve"> </w:t>
      </w:r>
      <w:r w:rsidR="0086710A">
        <w:t xml:space="preserve">we hanteren </w:t>
      </w:r>
      <w:r>
        <w:t>een ‘uniform zaaknummer’</w:t>
      </w:r>
      <w:r w:rsidR="00901640">
        <w:t xml:space="preserve"> om informatie in context uit te wisselen</w:t>
      </w:r>
      <w:r>
        <w:t xml:space="preserve">, </w:t>
      </w:r>
      <w:r w:rsidR="0086710A">
        <w:t xml:space="preserve">maar </w:t>
      </w:r>
      <w:r>
        <w:t>welk zaaknummer bedoelen we dan?</w:t>
      </w:r>
      <w:r w:rsidR="000D65DC">
        <w:t xml:space="preserve"> Stellen we vast dat het DSO-projectnummer leidend is</w:t>
      </w:r>
      <w:r w:rsidR="00D0416C">
        <w:t>,</w:t>
      </w:r>
      <w:r w:rsidR="000D65DC">
        <w:t xml:space="preserve"> niet alleen voor </w:t>
      </w:r>
      <w:r w:rsidR="008E7B52">
        <w:t>informatie-uitwisseling tijdens het proces, maar ook voor duurzame toegankelijkheid achteraf?</w:t>
      </w:r>
      <w:r w:rsidR="0086710A">
        <w:t xml:space="preserve"> Dan moeten we dat afspreken.</w:t>
      </w:r>
    </w:p>
    <w:p w14:paraId="7FEFEB2C" w14:textId="77777777" w:rsidR="00395F37" w:rsidRDefault="00395F37"/>
    <w:p w14:paraId="255614E3" w14:textId="052AED0A" w:rsidR="008F7CD2" w:rsidRDefault="00132234">
      <w:r>
        <w:t xml:space="preserve">Feedback was ook dat de afspraken meer op proces </w:t>
      </w:r>
      <w:r w:rsidR="00D0416C">
        <w:t xml:space="preserve">zitten </w:t>
      </w:r>
      <w:r>
        <w:t>dan op inhoud.</w:t>
      </w:r>
      <w:r w:rsidR="003B780A">
        <w:t xml:space="preserve"> Dat klopt, en op niveau van deze afspraken is dat ook prima; maar die gemeenschappelijke onderschrijving van de inhoud zou wel </w:t>
      </w:r>
      <w:r w:rsidR="00FA2086">
        <w:t>elders terug moeten komen.</w:t>
      </w:r>
      <w:r>
        <w:t xml:space="preserve"> </w:t>
      </w:r>
      <w:r w:rsidR="00027FD1">
        <w:t>Suggestie: i</w:t>
      </w:r>
      <w:r w:rsidR="008F7CD2">
        <w:t>nhoudelijke afspraken op hoofdlijnen in de preambule</w:t>
      </w:r>
      <w:r w:rsidR="00027FD1">
        <w:t xml:space="preserve"> van de SOK.</w:t>
      </w:r>
      <w:r w:rsidR="00FA2086">
        <w:t xml:space="preserve"> Vergelijkbaar aan de doelen zoals de deelnemers van een bestuursconvenant </w:t>
      </w:r>
      <w:r w:rsidR="00027FD1">
        <w:t xml:space="preserve">of gemeenschappelijke regeling </w:t>
      </w:r>
      <w:r w:rsidR="00FA2086">
        <w:t>die onderschrijven</w:t>
      </w:r>
      <w:r w:rsidR="00787276">
        <w:t>.</w:t>
      </w:r>
      <w:r w:rsidR="00624D4F">
        <w:t xml:space="preserve"> (Is overgenomen als aanbeveling bij het advies</w:t>
      </w:r>
      <w:r w:rsidR="00B33000">
        <w:t xml:space="preserve"> in paragraaf 1</w:t>
      </w:r>
      <w:r w:rsidR="00624D4F">
        <w:t>.)</w:t>
      </w:r>
    </w:p>
    <w:p w14:paraId="0B558963" w14:textId="6B84485E" w:rsidR="008F7CD2" w:rsidRDefault="008F7CD2"/>
    <w:p w14:paraId="4CD94133" w14:textId="12E529EB" w:rsidR="008F7CD2" w:rsidRDefault="00B33000">
      <w:r>
        <w:t>Het</w:t>
      </w:r>
      <w:r w:rsidR="00E92D32">
        <w:t xml:space="preserve"> DAP </w:t>
      </w:r>
      <w:r w:rsidR="00C70720">
        <w:t xml:space="preserve">tussen partijen </w:t>
      </w:r>
      <w:r w:rsidR="00E92D32">
        <w:t xml:space="preserve">moet worden ingebed in een </w:t>
      </w:r>
      <w:r w:rsidR="00C70720">
        <w:t xml:space="preserve">breder stuk, bijvoorbeeld de </w:t>
      </w:r>
      <w:proofErr w:type="spellStart"/>
      <w:r w:rsidR="00C70720">
        <w:t>dvo</w:t>
      </w:r>
      <w:proofErr w:type="spellEnd"/>
      <w:r w:rsidR="00C70720">
        <w:t xml:space="preserve"> tussen omgevingsdienst en gemeente. Een andere term is nodig tussen partijen waar geen sprake is van dienstverlening</w:t>
      </w:r>
      <w:r w:rsidR="00787276">
        <w:t>, bijvoorbeeld een gemeente en de provincie, of een gemeente en een waterschap.</w:t>
      </w:r>
    </w:p>
    <w:p w14:paraId="60E6ED1A" w14:textId="7E92BECB" w:rsidR="007B2E3C" w:rsidRDefault="002C31A6">
      <w:r>
        <w:t xml:space="preserve">De </w:t>
      </w:r>
      <w:r w:rsidR="007B2E3C">
        <w:t xml:space="preserve">wetten </w:t>
      </w:r>
      <w:proofErr w:type="spellStart"/>
      <w:r>
        <w:t>Woo</w:t>
      </w:r>
      <w:proofErr w:type="spellEnd"/>
      <w:r>
        <w:t xml:space="preserve"> en Archiefwet</w:t>
      </w:r>
      <w:r w:rsidR="00973386">
        <w:t xml:space="preserve"> moeten</w:t>
      </w:r>
      <w:r>
        <w:t xml:space="preserve"> </w:t>
      </w:r>
      <w:r w:rsidR="007B2E3C">
        <w:t xml:space="preserve">vervangen </w:t>
      </w:r>
      <w:r w:rsidR="00973386">
        <w:t xml:space="preserve">worden </w:t>
      </w:r>
      <w:r w:rsidR="007B2E3C">
        <w:t>door ‘relevante regelgeving’</w:t>
      </w:r>
      <w:r w:rsidR="00180682">
        <w:t xml:space="preserve">, anders lijkt het of </w:t>
      </w:r>
      <w:r w:rsidR="00DF465A">
        <w:t xml:space="preserve">deze wetten limitatief zijn voor </w:t>
      </w:r>
      <w:r w:rsidR="00180682">
        <w:t>de te maken afspraken over informatiehuishouding</w:t>
      </w:r>
      <w:r w:rsidR="00973386">
        <w:t>.</w:t>
      </w:r>
      <w:r w:rsidR="00180682">
        <w:t xml:space="preserve"> </w:t>
      </w:r>
      <w:r w:rsidR="00973386">
        <w:t>Deze zijn t</w:t>
      </w:r>
      <w:r w:rsidR="00180682">
        <w:t>evens gerelateerd aan gegevensbescherming en informatiebeveiliging</w:t>
      </w:r>
      <w:r w:rsidR="006D582C">
        <w:t>, dus niet limitatief</w:t>
      </w:r>
      <w:r w:rsidR="00DF465A">
        <w:t>.</w:t>
      </w:r>
    </w:p>
    <w:p w14:paraId="17F57E3E" w14:textId="3FF8C1FA" w:rsidR="007B2E3C" w:rsidRDefault="007B2E3C"/>
    <w:p w14:paraId="4536692A" w14:textId="7D0DBDD9" w:rsidR="007B2E3C" w:rsidRDefault="001C6522">
      <w:r>
        <w:t>Een deelnemer</w:t>
      </w:r>
      <w:r w:rsidR="006D582C">
        <w:t xml:space="preserve"> van de verdiepingsgroep</w:t>
      </w:r>
      <w:r>
        <w:t xml:space="preserve"> stelt voor dat een t</w:t>
      </w:r>
      <w:r w:rsidR="007B2E3C">
        <w:t xml:space="preserve">oegevoegde afspraak </w:t>
      </w:r>
      <w:r w:rsidR="004C271B">
        <w:t xml:space="preserve">nodig is </w:t>
      </w:r>
      <w:r w:rsidR="007B2E3C">
        <w:t xml:space="preserve">over dat alle andere </w:t>
      </w:r>
      <w:r w:rsidR="004C271B">
        <w:t>SOK-</w:t>
      </w:r>
      <w:r w:rsidR="007B2E3C">
        <w:t xml:space="preserve">afspraken worden getoetst op inbedding </w:t>
      </w:r>
      <w:r>
        <w:t>van archiveringsafspraken</w:t>
      </w:r>
      <w:r w:rsidR="004C271B">
        <w:t>. Zie bijvoorbeeld de afspraken over omgevingstafels en beschikbaarheid van informatie.</w:t>
      </w:r>
      <w:r w:rsidR="004F2EEC">
        <w:t xml:space="preserve"> Dat is inderdaad nodig, maar in principe ook ondervangen in de DUTO-TODO checklist</w:t>
      </w:r>
      <w:r w:rsidR="0073519D">
        <w:t xml:space="preserve"> als immanent aan de procesafspraken.</w:t>
      </w:r>
    </w:p>
    <w:p w14:paraId="5501B951" w14:textId="77777777" w:rsidR="00C70720" w:rsidRDefault="00C70720"/>
    <w:p w14:paraId="10A2EE6E" w14:textId="25C5BA88" w:rsidR="007A4950" w:rsidRDefault="007A4950">
      <w:pPr>
        <w:rPr>
          <w:b/>
          <w:bCs/>
        </w:rPr>
      </w:pPr>
      <w:r>
        <w:rPr>
          <w:b/>
          <w:bCs/>
        </w:rPr>
        <w:t>Samenwerkingsafspraak Archivering</w:t>
      </w:r>
      <w:r w:rsidR="004F2EEC">
        <w:rPr>
          <w:b/>
          <w:bCs/>
        </w:rPr>
        <w:t xml:space="preserve"> 2</w:t>
      </w:r>
    </w:p>
    <w:p w14:paraId="050A482B" w14:textId="38B4179F" w:rsidR="0070742A" w:rsidRDefault="0070742A">
      <w:r>
        <w:t xml:space="preserve">Eigenlijk </w:t>
      </w:r>
      <w:r w:rsidR="007A4950">
        <w:t xml:space="preserve">zijn </w:t>
      </w:r>
      <w:r w:rsidR="0073519D">
        <w:t>in deze afspraak</w:t>
      </w:r>
      <w:r w:rsidR="007A4950">
        <w:t xml:space="preserve"> </w:t>
      </w:r>
      <w:r>
        <w:t>geen aanpassingen</w:t>
      </w:r>
      <w:r w:rsidR="007A4950">
        <w:t xml:space="preserve"> nodig</w:t>
      </w:r>
      <w:r>
        <w:t>. Periodieke toetsing laten staan</w:t>
      </w:r>
      <w:r w:rsidR="005950D4">
        <w:t>; dat periodieke karakter kan wel in de loop van de tijd worden aangepast, bijvoorbeeld van jaarlijks naar tweejaarlijks.</w:t>
      </w:r>
      <w:r w:rsidR="00AC426D">
        <w:t xml:space="preserve"> Dit kan prima geregeld worden in de bovenliggende afspraken die de regievoerders maken.</w:t>
      </w:r>
    </w:p>
    <w:p w14:paraId="0CE00835" w14:textId="77777777" w:rsidR="0070742A" w:rsidRDefault="0070742A"/>
    <w:p w14:paraId="351DDB90" w14:textId="2FE602E4" w:rsidR="00C70720" w:rsidRPr="0070742A" w:rsidRDefault="00C930E9">
      <w:pPr>
        <w:rPr>
          <w:u w:val="single"/>
        </w:rPr>
      </w:pPr>
      <w:r w:rsidRPr="0070742A">
        <w:rPr>
          <w:u w:val="single"/>
        </w:rPr>
        <w:t>Voorlichting</w:t>
      </w:r>
    </w:p>
    <w:p w14:paraId="5B5DE066" w14:textId="0ADCDADB" w:rsidR="00C930E9" w:rsidRDefault="00C930E9">
      <w:r>
        <w:t xml:space="preserve">Uit feedback blijkt dat </w:t>
      </w:r>
      <w:r w:rsidR="00574D55">
        <w:t>nog niet voor iedereen duidelijk is waar het verschil zit tussen bestuurlijke verantwoordelijkheid (‘archiefverantwoordelijkheid’) en de mogelijkheid om een andere partij voor het beheer te mandateren</w:t>
      </w:r>
      <w:r w:rsidR="0070742A">
        <w:t>, bijvoorbeeld een omgevingsdienst.</w:t>
      </w:r>
      <w:r w:rsidR="002F5437">
        <w:t xml:space="preserve"> De verdiepingsgroep constateert dat het nodig </w:t>
      </w:r>
      <w:r w:rsidR="00254F6C">
        <w:t>is om meer voorlichting te geven over wat dergelijke begrippen betekenen</w:t>
      </w:r>
      <w:r w:rsidR="004A165C">
        <w:t xml:space="preserve"> en wat de mogelijkheden zijn</w:t>
      </w:r>
      <w:r w:rsidR="00E55F9A">
        <w:t>: soms is het beeld te beperkt</w:t>
      </w:r>
      <w:r w:rsidR="004A165C">
        <w:t>.</w:t>
      </w:r>
    </w:p>
    <w:p w14:paraId="080A0B33" w14:textId="5E85F91A" w:rsidR="002F5437" w:rsidRDefault="002F5437">
      <w:r>
        <w:t xml:space="preserve">Anders </w:t>
      </w:r>
      <w:r w:rsidR="00CF542D">
        <w:t xml:space="preserve">beschikken mensen die de beslissingen moeten nemen of voorbereiden niet over de </w:t>
      </w:r>
      <w:r w:rsidR="00254F6C">
        <w:t xml:space="preserve">vereiste </w:t>
      </w:r>
      <w:r w:rsidR="00CF542D">
        <w:t>kennis om dit te doen.</w:t>
      </w:r>
    </w:p>
    <w:p w14:paraId="389CABF6" w14:textId="77777777" w:rsidR="00AF0F06" w:rsidRDefault="00AF0F06"/>
    <w:p w14:paraId="1950C663" w14:textId="64BE4CE0" w:rsidR="00AF0F06" w:rsidRPr="00AF0F06" w:rsidRDefault="00AF0F06" w:rsidP="00AF0F06">
      <w:pPr>
        <w:rPr>
          <w:b/>
          <w:bCs/>
        </w:rPr>
      </w:pPr>
      <w:r w:rsidRPr="00AF0F06">
        <w:rPr>
          <w:b/>
          <w:bCs/>
          <w:lang w:val="de-DE"/>
        </w:rPr>
        <w:t xml:space="preserve">3. </w:t>
      </w:r>
      <w:proofErr w:type="spellStart"/>
      <w:r w:rsidRPr="00AF0F06">
        <w:rPr>
          <w:b/>
          <w:bCs/>
          <w:lang w:val="de-DE"/>
        </w:rPr>
        <w:t>Zien</w:t>
      </w:r>
      <w:proofErr w:type="spellEnd"/>
      <w:r w:rsidRPr="00AF0F06">
        <w:rPr>
          <w:b/>
          <w:bCs/>
          <w:lang w:val="de-DE"/>
        </w:rPr>
        <w:t xml:space="preserve"> </w:t>
      </w:r>
      <w:proofErr w:type="spellStart"/>
      <w:r w:rsidRPr="00AF0F06">
        <w:rPr>
          <w:b/>
          <w:bCs/>
          <w:lang w:val="de-DE"/>
        </w:rPr>
        <w:t>we</w:t>
      </w:r>
      <w:proofErr w:type="spellEnd"/>
      <w:r w:rsidRPr="00AF0F06">
        <w:rPr>
          <w:b/>
          <w:bCs/>
          <w:lang w:val="de-DE"/>
        </w:rPr>
        <w:t xml:space="preserve"> </w:t>
      </w:r>
      <w:proofErr w:type="spellStart"/>
      <w:r w:rsidRPr="00AF0F06">
        <w:rPr>
          <w:b/>
          <w:bCs/>
          <w:lang w:val="de-DE"/>
        </w:rPr>
        <w:t>raakvlakken</w:t>
      </w:r>
      <w:proofErr w:type="spellEnd"/>
      <w:r w:rsidRPr="00AF0F06">
        <w:rPr>
          <w:b/>
          <w:bCs/>
          <w:lang w:val="de-DE"/>
        </w:rPr>
        <w:t xml:space="preserve"> </w:t>
      </w:r>
      <w:proofErr w:type="spellStart"/>
      <w:r w:rsidRPr="00AF0F06">
        <w:rPr>
          <w:b/>
          <w:bCs/>
          <w:lang w:val="de-DE"/>
        </w:rPr>
        <w:t>met</w:t>
      </w:r>
      <w:proofErr w:type="spellEnd"/>
      <w:r w:rsidRPr="00AF0F06">
        <w:rPr>
          <w:b/>
          <w:bCs/>
          <w:lang w:val="de-DE"/>
        </w:rPr>
        <w:t xml:space="preserve"> SOK ‘</w:t>
      </w:r>
      <w:proofErr w:type="spellStart"/>
      <w:r w:rsidRPr="00AF0F06">
        <w:rPr>
          <w:b/>
          <w:bCs/>
          <w:lang w:val="de-DE"/>
        </w:rPr>
        <w:t>Informatievoorziening</w:t>
      </w:r>
      <w:proofErr w:type="spellEnd"/>
      <w:r w:rsidRPr="00AF0F06">
        <w:rPr>
          <w:b/>
          <w:bCs/>
          <w:lang w:val="de-DE"/>
        </w:rPr>
        <w:t xml:space="preserve"> en ICT’ die </w:t>
      </w:r>
      <w:proofErr w:type="spellStart"/>
      <w:r w:rsidRPr="00AF0F06">
        <w:rPr>
          <w:b/>
          <w:bCs/>
          <w:lang w:val="de-DE"/>
        </w:rPr>
        <w:t>meer</w:t>
      </w:r>
      <w:proofErr w:type="spellEnd"/>
      <w:r w:rsidRPr="00AF0F06">
        <w:rPr>
          <w:b/>
          <w:bCs/>
          <w:lang w:val="de-DE"/>
        </w:rPr>
        <w:t xml:space="preserve"> </w:t>
      </w:r>
      <w:proofErr w:type="spellStart"/>
      <w:r w:rsidRPr="00AF0F06">
        <w:rPr>
          <w:b/>
          <w:bCs/>
          <w:lang w:val="de-DE"/>
        </w:rPr>
        <w:t>belicht</w:t>
      </w:r>
      <w:proofErr w:type="spellEnd"/>
      <w:r w:rsidRPr="00AF0F06">
        <w:rPr>
          <w:b/>
          <w:bCs/>
          <w:lang w:val="de-DE"/>
        </w:rPr>
        <w:t xml:space="preserve"> </w:t>
      </w:r>
      <w:proofErr w:type="spellStart"/>
      <w:r w:rsidRPr="00AF0F06">
        <w:rPr>
          <w:b/>
          <w:bCs/>
          <w:lang w:val="de-DE"/>
        </w:rPr>
        <w:t>moeten</w:t>
      </w:r>
      <w:proofErr w:type="spellEnd"/>
      <w:r w:rsidRPr="00AF0F06">
        <w:rPr>
          <w:b/>
          <w:bCs/>
          <w:lang w:val="de-DE"/>
        </w:rPr>
        <w:t xml:space="preserve"> worden in SOK ‘</w:t>
      </w:r>
      <w:proofErr w:type="spellStart"/>
      <w:r w:rsidRPr="00AF0F06">
        <w:rPr>
          <w:b/>
          <w:bCs/>
          <w:lang w:val="de-DE"/>
        </w:rPr>
        <w:t>Archivering</w:t>
      </w:r>
      <w:proofErr w:type="spellEnd"/>
      <w:r w:rsidRPr="00AF0F06">
        <w:rPr>
          <w:b/>
          <w:bCs/>
          <w:lang w:val="de-DE"/>
        </w:rPr>
        <w:t>‘?</w:t>
      </w:r>
    </w:p>
    <w:p w14:paraId="0EA98B46" w14:textId="176E9A69" w:rsidR="00AF0F06" w:rsidRDefault="00C930E9">
      <w:r>
        <w:t xml:space="preserve">Dit werkt </w:t>
      </w:r>
      <w:r w:rsidR="005950D4">
        <w:t xml:space="preserve">Hans </w:t>
      </w:r>
      <w:r w:rsidR="00C42C8A">
        <w:t xml:space="preserve">vrijdag </w:t>
      </w:r>
      <w:r w:rsidR="00413BA8">
        <w:t xml:space="preserve">(8 april) </w:t>
      </w:r>
      <w:r w:rsidR="00C42C8A">
        <w:t xml:space="preserve">uit en koppelt terug met deelnemer van RUD over </w:t>
      </w:r>
      <w:r w:rsidR="003D6E9F">
        <w:t xml:space="preserve">waar de </w:t>
      </w:r>
      <w:r w:rsidR="00413BA8">
        <w:t>feedback</w:t>
      </w:r>
      <w:r w:rsidR="003D6E9F">
        <w:t xml:space="preserve"> van </w:t>
      </w:r>
      <w:r w:rsidR="00413BA8">
        <w:t xml:space="preserve">waterschap </w:t>
      </w:r>
      <w:r w:rsidR="003D6E9F">
        <w:t xml:space="preserve">Vallei en Veluwe </w:t>
      </w:r>
      <w:r w:rsidR="00EE0E41">
        <w:t xml:space="preserve">(nummer 6) </w:t>
      </w:r>
      <w:r w:rsidR="003D6E9F">
        <w:t>word</w:t>
      </w:r>
      <w:r w:rsidR="00CE6868">
        <w:t>t verwerkt, en of er vanuit Archivering naar verwezen zou moeten worden.</w:t>
      </w:r>
    </w:p>
    <w:sectPr w:rsidR="00AF0F0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51635" w14:textId="77777777" w:rsidR="009C4B81" w:rsidRDefault="009C4B81" w:rsidP="009F4328">
      <w:pPr>
        <w:spacing w:line="240" w:lineRule="auto"/>
      </w:pPr>
      <w:r>
        <w:separator/>
      </w:r>
    </w:p>
  </w:endnote>
  <w:endnote w:type="continuationSeparator" w:id="0">
    <w:p w14:paraId="19C8F830" w14:textId="77777777" w:rsidR="009C4B81" w:rsidRDefault="009C4B81" w:rsidP="009F43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981895"/>
      <w:docPartObj>
        <w:docPartGallery w:val="Page Numbers (Bottom of Page)"/>
        <w:docPartUnique/>
      </w:docPartObj>
    </w:sdtPr>
    <w:sdtEndPr/>
    <w:sdtContent>
      <w:p w14:paraId="3A7729F6" w14:textId="1E71B610" w:rsidR="009F4328" w:rsidRDefault="009F4328">
        <w:pPr>
          <w:pStyle w:val="Voettekst"/>
          <w:jc w:val="right"/>
        </w:pPr>
        <w:r>
          <w:fldChar w:fldCharType="begin"/>
        </w:r>
        <w:r>
          <w:instrText>PAGE   \* MERGEFORMAT</w:instrText>
        </w:r>
        <w:r>
          <w:fldChar w:fldCharType="separate"/>
        </w:r>
        <w:r>
          <w:t>2</w:t>
        </w:r>
        <w:r>
          <w:fldChar w:fldCharType="end"/>
        </w:r>
        <w:r>
          <w:t xml:space="preserve"> / </w:t>
        </w:r>
        <w:fldSimple w:instr=" NUMPAGES   \* MERGEFORMAT ">
          <w:r>
            <w:rPr>
              <w:noProof/>
            </w:rPr>
            <w:t>5</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40679" w14:textId="77777777" w:rsidR="009C4B81" w:rsidRDefault="009C4B81" w:rsidP="009F4328">
      <w:pPr>
        <w:spacing w:line="240" w:lineRule="auto"/>
      </w:pPr>
      <w:r>
        <w:separator/>
      </w:r>
    </w:p>
  </w:footnote>
  <w:footnote w:type="continuationSeparator" w:id="0">
    <w:p w14:paraId="1D92585C" w14:textId="77777777" w:rsidR="009C4B81" w:rsidRDefault="009C4B81" w:rsidP="009F432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33776"/>
    <w:multiLevelType w:val="hybridMultilevel"/>
    <w:tmpl w:val="2E5A9DA2"/>
    <w:lvl w:ilvl="0" w:tplc="B580600C">
      <w:start w:val="1"/>
      <w:numFmt w:val="decimal"/>
      <w:lvlText w:val="%1."/>
      <w:lvlJc w:val="left"/>
      <w:pPr>
        <w:tabs>
          <w:tab w:val="num" w:pos="720"/>
        </w:tabs>
        <w:ind w:left="720" w:hanging="360"/>
      </w:pPr>
    </w:lvl>
    <w:lvl w:ilvl="1" w:tplc="39F6E332" w:tentative="1">
      <w:start w:val="1"/>
      <w:numFmt w:val="decimal"/>
      <w:lvlText w:val="%2."/>
      <w:lvlJc w:val="left"/>
      <w:pPr>
        <w:tabs>
          <w:tab w:val="num" w:pos="1440"/>
        </w:tabs>
        <w:ind w:left="1440" w:hanging="360"/>
      </w:pPr>
    </w:lvl>
    <w:lvl w:ilvl="2" w:tplc="BA4216CC" w:tentative="1">
      <w:start w:val="1"/>
      <w:numFmt w:val="decimal"/>
      <w:lvlText w:val="%3."/>
      <w:lvlJc w:val="left"/>
      <w:pPr>
        <w:tabs>
          <w:tab w:val="num" w:pos="2160"/>
        </w:tabs>
        <w:ind w:left="2160" w:hanging="360"/>
      </w:pPr>
    </w:lvl>
    <w:lvl w:ilvl="3" w:tplc="184EE504" w:tentative="1">
      <w:start w:val="1"/>
      <w:numFmt w:val="decimal"/>
      <w:lvlText w:val="%4."/>
      <w:lvlJc w:val="left"/>
      <w:pPr>
        <w:tabs>
          <w:tab w:val="num" w:pos="2880"/>
        </w:tabs>
        <w:ind w:left="2880" w:hanging="360"/>
      </w:pPr>
    </w:lvl>
    <w:lvl w:ilvl="4" w:tplc="581CAD1A" w:tentative="1">
      <w:start w:val="1"/>
      <w:numFmt w:val="decimal"/>
      <w:lvlText w:val="%5."/>
      <w:lvlJc w:val="left"/>
      <w:pPr>
        <w:tabs>
          <w:tab w:val="num" w:pos="3600"/>
        </w:tabs>
        <w:ind w:left="3600" w:hanging="360"/>
      </w:pPr>
    </w:lvl>
    <w:lvl w:ilvl="5" w:tplc="56CADD24" w:tentative="1">
      <w:start w:val="1"/>
      <w:numFmt w:val="decimal"/>
      <w:lvlText w:val="%6."/>
      <w:lvlJc w:val="left"/>
      <w:pPr>
        <w:tabs>
          <w:tab w:val="num" w:pos="4320"/>
        </w:tabs>
        <w:ind w:left="4320" w:hanging="360"/>
      </w:pPr>
    </w:lvl>
    <w:lvl w:ilvl="6" w:tplc="5AACE87A" w:tentative="1">
      <w:start w:val="1"/>
      <w:numFmt w:val="decimal"/>
      <w:lvlText w:val="%7."/>
      <w:lvlJc w:val="left"/>
      <w:pPr>
        <w:tabs>
          <w:tab w:val="num" w:pos="5040"/>
        </w:tabs>
        <w:ind w:left="5040" w:hanging="360"/>
      </w:pPr>
    </w:lvl>
    <w:lvl w:ilvl="7" w:tplc="1442703A" w:tentative="1">
      <w:start w:val="1"/>
      <w:numFmt w:val="decimal"/>
      <w:lvlText w:val="%8."/>
      <w:lvlJc w:val="left"/>
      <w:pPr>
        <w:tabs>
          <w:tab w:val="num" w:pos="5760"/>
        </w:tabs>
        <w:ind w:left="5760" w:hanging="360"/>
      </w:pPr>
    </w:lvl>
    <w:lvl w:ilvl="8" w:tplc="CFD82F32" w:tentative="1">
      <w:start w:val="1"/>
      <w:numFmt w:val="decimal"/>
      <w:lvlText w:val="%9."/>
      <w:lvlJc w:val="left"/>
      <w:pPr>
        <w:tabs>
          <w:tab w:val="num" w:pos="6480"/>
        </w:tabs>
        <w:ind w:left="6480" w:hanging="360"/>
      </w:pPr>
    </w:lvl>
  </w:abstractNum>
  <w:abstractNum w:abstractNumId="1" w15:restartNumberingAfterBreak="0">
    <w:nsid w:val="36201F5A"/>
    <w:multiLevelType w:val="hybridMultilevel"/>
    <w:tmpl w:val="E2C094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49F15CD"/>
    <w:multiLevelType w:val="hybridMultilevel"/>
    <w:tmpl w:val="2E5A9DA2"/>
    <w:lvl w:ilvl="0" w:tplc="B580600C">
      <w:start w:val="1"/>
      <w:numFmt w:val="decimal"/>
      <w:lvlText w:val="%1."/>
      <w:lvlJc w:val="left"/>
      <w:pPr>
        <w:tabs>
          <w:tab w:val="num" w:pos="720"/>
        </w:tabs>
        <w:ind w:left="720" w:hanging="360"/>
      </w:pPr>
    </w:lvl>
    <w:lvl w:ilvl="1" w:tplc="39F6E332" w:tentative="1">
      <w:start w:val="1"/>
      <w:numFmt w:val="decimal"/>
      <w:lvlText w:val="%2."/>
      <w:lvlJc w:val="left"/>
      <w:pPr>
        <w:tabs>
          <w:tab w:val="num" w:pos="1440"/>
        </w:tabs>
        <w:ind w:left="1440" w:hanging="360"/>
      </w:pPr>
    </w:lvl>
    <w:lvl w:ilvl="2" w:tplc="BA4216CC" w:tentative="1">
      <w:start w:val="1"/>
      <w:numFmt w:val="decimal"/>
      <w:lvlText w:val="%3."/>
      <w:lvlJc w:val="left"/>
      <w:pPr>
        <w:tabs>
          <w:tab w:val="num" w:pos="2160"/>
        </w:tabs>
        <w:ind w:left="2160" w:hanging="360"/>
      </w:pPr>
    </w:lvl>
    <w:lvl w:ilvl="3" w:tplc="184EE504" w:tentative="1">
      <w:start w:val="1"/>
      <w:numFmt w:val="decimal"/>
      <w:lvlText w:val="%4."/>
      <w:lvlJc w:val="left"/>
      <w:pPr>
        <w:tabs>
          <w:tab w:val="num" w:pos="2880"/>
        </w:tabs>
        <w:ind w:left="2880" w:hanging="360"/>
      </w:pPr>
    </w:lvl>
    <w:lvl w:ilvl="4" w:tplc="581CAD1A" w:tentative="1">
      <w:start w:val="1"/>
      <w:numFmt w:val="decimal"/>
      <w:lvlText w:val="%5."/>
      <w:lvlJc w:val="left"/>
      <w:pPr>
        <w:tabs>
          <w:tab w:val="num" w:pos="3600"/>
        </w:tabs>
        <w:ind w:left="3600" w:hanging="360"/>
      </w:pPr>
    </w:lvl>
    <w:lvl w:ilvl="5" w:tplc="56CADD24" w:tentative="1">
      <w:start w:val="1"/>
      <w:numFmt w:val="decimal"/>
      <w:lvlText w:val="%6."/>
      <w:lvlJc w:val="left"/>
      <w:pPr>
        <w:tabs>
          <w:tab w:val="num" w:pos="4320"/>
        </w:tabs>
        <w:ind w:left="4320" w:hanging="360"/>
      </w:pPr>
    </w:lvl>
    <w:lvl w:ilvl="6" w:tplc="5AACE87A" w:tentative="1">
      <w:start w:val="1"/>
      <w:numFmt w:val="decimal"/>
      <w:lvlText w:val="%7."/>
      <w:lvlJc w:val="left"/>
      <w:pPr>
        <w:tabs>
          <w:tab w:val="num" w:pos="5040"/>
        </w:tabs>
        <w:ind w:left="5040" w:hanging="360"/>
      </w:pPr>
    </w:lvl>
    <w:lvl w:ilvl="7" w:tplc="1442703A" w:tentative="1">
      <w:start w:val="1"/>
      <w:numFmt w:val="decimal"/>
      <w:lvlText w:val="%8."/>
      <w:lvlJc w:val="left"/>
      <w:pPr>
        <w:tabs>
          <w:tab w:val="num" w:pos="5760"/>
        </w:tabs>
        <w:ind w:left="5760" w:hanging="360"/>
      </w:pPr>
    </w:lvl>
    <w:lvl w:ilvl="8" w:tplc="CFD82F32"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D2"/>
    <w:rsid w:val="00011F7E"/>
    <w:rsid w:val="00027FD1"/>
    <w:rsid w:val="00047AC3"/>
    <w:rsid w:val="00071917"/>
    <w:rsid w:val="000762AA"/>
    <w:rsid w:val="00080053"/>
    <w:rsid w:val="00087902"/>
    <w:rsid w:val="00090DAC"/>
    <w:rsid w:val="00097F84"/>
    <w:rsid w:val="000A4525"/>
    <w:rsid w:val="000B6BC0"/>
    <w:rsid w:val="000C4490"/>
    <w:rsid w:val="000D3A00"/>
    <w:rsid w:val="000D65DC"/>
    <w:rsid w:val="00100571"/>
    <w:rsid w:val="00102E1D"/>
    <w:rsid w:val="0010712D"/>
    <w:rsid w:val="001077CB"/>
    <w:rsid w:val="0011479F"/>
    <w:rsid w:val="001272F2"/>
    <w:rsid w:val="00132234"/>
    <w:rsid w:val="00141D37"/>
    <w:rsid w:val="0014203C"/>
    <w:rsid w:val="00143C45"/>
    <w:rsid w:val="00153FB7"/>
    <w:rsid w:val="00167C7C"/>
    <w:rsid w:val="00173D91"/>
    <w:rsid w:val="00180682"/>
    <w:rsid w:val="00191F4D"/>
    <w:rsid w:val="001957F7"/>
    <w:rsid w:val="001C6522"/>
    <w:rsid w:val="001E777C"/>
    <w:rsid w:val="002226CA"/>
    <w:rsid w:val="00224386"/>
    <w:rsid w:val="00230953"/>
    <w:rsid w:val="0025319B"/>
    <w:rsid w:val="00254F6C"/>
    <w:rsid w:val="002933C8"/>
    <w:rsid w:val="00294B66"/>
    <w:rsid w:val="00296BB4"/>
    <w:rsid w:val="002C31A6"/>
    <w:rsid w:val="002C4B91"/>
    <w:rsid w:val="002E551D"/>
    <w:rsid w:val="002E747F"/>
    <w:rsid w:val="002F5437"/>
    <w:rsid w:val="002F7C52"/>
    <w:rsid w:val="003077A3"/>
    <w:rsid w:val="00315481"/>
    <w:rsid w:val="00316649"/>
    <w:rsid w:val="00317DDD"/>
    <w:rsid w:val="003543F9"/>
    <w:rsid w:val="00354C80"/>
    <w:rsid w:val="003679FE"/>
    <w:rsid w:val="00383512"/>
    <w:rsid w:val="00395F37"/>
    <w:rsid w:val="003A3264"/>
    <w:rsid w:val="003B780A"/>
    <w:rsid w:val="003D6E9F"/>
    <w:rsid w:val="004016B5"/>
    <w:rsid w:val="00411C01"/>
    <w:rsid w:val="00413BA8"/>
    <w:rsid w:val="00416C32"/>
    <w:rsid w:val="00455806"/>
    <w:rsid w:val="004A165C"/>
    <w:rsid w:val="004A3FBB"/>
    <w:rsid w:val="004A7099"/>
    <w:rsid w:val="004C271B"/>
    <w:rsid w:val="004E4CDC"/>
    <w:rsid w:val="004F2EEC"/>
    <w:rsid w:val="00510E5F"/>
    <w:rsid w:val="00536A0D"/>
    <w:rsid w:val="00556D68"/>
    <w:rsid w:val="005624A1"/>
    <w:rsid w:val="00574D55"/>
    <w:rsid w:val="005950D4"/>
    <w:rsid w:val="005A54F4"/>
    <w:rsid w:val="005C2015"/>
    <w:rsid w:val="005D7FB6"/>
    <w:rsid w:val="005E7FEC"/>
    <w:rsid w:val="005F1AD7"/>
    <w:rsid w:val="005F239D"/>
    <w:rsid w:val="00617E7C"/>
    <w:rsid w:val="00624D4F"/>
    <w:rsid w:val="0063043D"/>
    <w:rsid w:val="00636D28"/>
    <w:rsid w:val="006811CB"/>
    <w:rsid w:val="00684DD8"/>
    <w:rsid w:val="006D28F5"/>
    <w:rsid w:val="006D3CFD"/>
    <w:rsid w:val="006D582C"/>
    <w:rsid w:val="006E3FEE"/>
    <w:rsid w:val="006F1A2E"/>
    <w:rsid w:val="006F6CF0"/>
    <w:rsid w:val="0070742A"/>
    <w:rsid w:val="00733034"/>
    <w:rsid w:val="0073519D"/>
    <w:rsid w:val="00747A5A"/>
    <w:rsid w:val="007574E0"/>
    <w:rsid w:val="00787276"/>
    <w:rsid w:val="007A4950"/>
    <w:rsid w:val="007B2E3C"/>
    <w:rsid w:val="007F149D"/>
    <w:rsid w:val="008034AF"/>
    <w:rsid w:val="008172A4"/>
    <w:rsid w:val="008339D5"/>
    <w:rsid w:val="00867054"/>
    <w:rsid w:val="0086710A"/>
    <w:rsid w:val="00867995"/>
    <w:rsid w:val="00890E1E"/>
    <w:rsid w:val="008A7BD6"/>
    <w:rsid w:val="008D13F5"/>
    <w:rsid w:val="008D2DC5"/>
    <w:rsid w:val="008E7B52"/>
    <w:rsid w:val="008F7CD2"/>
    <w:rsid w:val="00901640"/>
    <w:rsid w:val="00904882"/>
    <w:rsid w:val="00904905"/>
    <w:rsid w:val="00906172"/>
    <w:rsid w:val="00906867"/>
    <w:rsid w:val="0091143A"/>
    <w:rsid w:val="00912E91"/>
    <w:rsid w:val="009200FB"/>
    <w:rsid w:val="00921516"/>
    <w:rsid w:val="009438B0"/>
    <w:rsid w:val="00964DB9"/>
    <w:rsid w:val="00973386"/>
    <w:rsid w:val="009943D5"/>
    <w:rsid w:val="00995B13"/>
    <w:rsid w:val="009C4B81"/>
    <w:rsid w:val="009D77DA"/>
    <w:rsid w:val="009F4328"/>
    <w:rsid w:val="00A45C4A"/>
    <w:rsid w:val="00A60A49"/>
    <w:rsid w:val="00A60E74"/>
    <w:rsid w:val="00A66BFE"/>
    <w:rsid w:val="00A7511E"/>
    <w:rsid w:val="00AA0B4C"/>
    <w:rsid w:val="00AA6BE5"/>
    <w:rsid w:val="00AA7191"/>
    <w:rsid w:val="00AB6B3A"/>
    <w:rsid w:val="00AC426D"/>
    <w:rsid w:val="00AE70A7"/>
    <w:rsid w:val="00AF0F06"/>
    <w:rsid w:val="00B04E7B"/>
    <w:rsid w:val="00B06396"/>
    <w:rsid w:val="00B27BA0"/>
    <w:rsid w:val="00B33000"/>
    <w:rsid w:val="00B34068"/>
    <w:rsid w:val="00B52ADD"/>
    <w:rsid w:val="00B845A8"/>
    <w:rsid w:val="00BB2A70"/>
    <w:rsid w:val="00BC6D82"/>
    <w:rsid w:val="00BD24EA"/>
    <w:rsid w:val="00C42C8A"/>
    <w:rsid w:val="00C70720"/>
    <w:rsid w:val="00C81E79"/>
    <w:rsid w:val="00C930E9"/>
    <w:rsid w:val="00CA53DF"/>
    <w:rsid w:val="00CC658D"/>
    <w:rsid w:val="00CD2959"/>
    <w:rsid w:val="00CE6868"/>
    <w:rsid w:val="00CF39D1"/>
    <w:rsid w:val="00CF542D"/>
    <w:rsid w:val="00CF7E67"/>
    <w:rsid w:val="00D0416C"/>
    <w:rsid w:val="00D1577B"/>
    <w:rsid w:val="00D37318"/>
    <w:rsid w:val="00DA156D"/>
    <w:rsid w:val="00DB49DB"/>
    <w:rsid w:val="00DD58B4"/>
    <w:rsid w:val="00DE02A4"/>
    <w:rsid w:val="00DE37B8"/>
    <w:rsid w:val="00DF465A"/>
    <w:rsid w:val="00DF6C22"/>
    <w:rsid w:val="00E01745"/>
    <w:rsid w:val="00E217A4"/>
    <w:rsid w:val="00E25A8A"/>
    <w:rsid w:val="00E43D18"/>
    <w:rsid w:val="00E54932"/>
    <w:rsid w:val="00E55F9A"/>
    <w:rsid w:val="00E6207D"/>
    <w:rsid w:val="00E672EF"/>
    <w:rsid w:val="00E92D32"/>
    <w:rsid w:val="00EC0588"/>
    <w:rsid w:val="00EE0E41"/>
    <w:rsid w:val="00F036B1"/>
    <w:rsid w:val="00F17D4F"/>
    <w:rsid w:val="00F36213"/>
    <w:rsid w:val="00F37C88"/>
    <w:rsid w:val="00F42E1D"/>
    <w:rsid w:val="00F43D27"/>
    <w:rsid w:val="00F56F43"/>
    <w:rsid w:val="00F905CE"/>
    <w:rsid w:val="00F93854"/>
    <w:rsid w:val="00F9633F"/>
    <w:rsid w:val="00FA2086"/>
    <w:rsid w:val="00FF1235"/>
    <w:rsid w:val="00FF17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8CBB"/>
  <w15:chartTrackingRefBased/>
  <w15:docId w15:val="{650D5AE5-0EF7-443C-9D30-D2BB3817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5481"/>
    <w:pPr>
      <w:spacing w:after="0" w:line="276" w:lineRule="auto"/>
    </w:pPr>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04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F6CF0"/>
    <w:pPr>
      <w:ind w:left="720"/>
      <w:contextualSpacing/>
    </w:pPr>
  </w:style>
  <w:style w:type="paragraph" w:styleId="Koptekst">
    <w:name w:val="header"/>
    <w:basedOn w:val="Standaard"/>
    <w:link w:val="KoptekstChar"/>
    <w:uiPriority w:val="99"/>
    <w:unhideWhenUsed/>
    <w:rsid w:val="009F432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F4328"/>
    <w:rPr>
      <w:rFonts w:ascii="Arial" w:hAnsi="Arial"/>
      <w:sz w:val="20"/>
    </w:rPr>
  </w:style>
  <w:style w:type="paragraph" w:styleId="Voettekst">
    <w:name w:val="footer"/>
    <w:basedOn w:val="Standaard"/>
    <w:link w:val="VoettekstChar"/>
    <w:uiPriority w:val="99"/>
    <w:unhideWhenUsed/>
    <w:rsid w:val="009F432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F4328"/>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29865">
      <w:bodyDiv w:val="1"/>
      <w:marLeft w:val="0"/>
      <w:marRight w:val="0"/>
      <w:marTop w:val="0"/>
      <w:marBottom w:val="0"/>
      <w:divBdr>
        <w:top w:val="none" w:sz="0" w:space="0" w:color="auto"/>
        <w:left w:val="none" w:sz="0" w:space="0" w:color="auto"/>
        <w:bottom w:val="none" w:sz="0" w:space="0" w:color="auto"/>
        <w:right w:val="none" w:sz="0" w:space="0" w:color="auto"/>
      </w:divBdr>
    </w:div>
    <w:div w:id="606741991">
      <w:bodyDiv w:val="1"/>
      <w:marLeft w:val="0"/>
      <w:marRight w:val="0"/>
      <w:marTop w:val="0"/>
      <w:marBottom w:val="0"/>
      <w:divBdr>
        <w:top w:val="none" w:sz="0" w:space="0" w:color="auto"/>
        <w:left w:val="none" w:sz="0" w:space="0" w:color="auto"/>
        <w:bottom w:val="none" w:sz="0" w:space="0" w:color="auto"/>
        <w:right w:val="none" w:sz="0" w:space="0" w:color="auto"/>
      </w:divBdr>
      <w:divsChild>
        <w:div w:id="434131670">
          <w:marLeft w:val="720"/>
          <w:marRight w:val="0"/>
          <w:marTop w:val="720"/>
          <w:marBottom w:val="0"/>
          <w:divBdr>
            <w:top w:val="none" w:sz="0" w:space="0" w:color="auto"/>
            <w:left w:val="none" w:sz="0" w:space="0" w:color="auto"/>
            <w:bottom w:val="none" w:sz="0" w:space="0" w:color="auto"/>
            <w:right w:val="none" w:sz="0" w:space="0" w:color="auto"/>
          </w:divBdr>
        </w:div>
        <w:div w:id="372310603">
          <w:marLeft w:val="720"/>
          <w:marRight w:val="0"/>
          <w:marTop w:val="720"/>
          <w:marBottom w:val="0"/>
          <w:divBdr>
            <w:top w:val="none" w:sz="0" w:space="0" w:color="auto"/>
            <w:left w:val="none" w:sz="0" w:space="0" w:color="auto"/>
            <w:bottom w:val="none" w:sz="0" w:space="0" w:color="auto"/>
            <w:right w:val="none" w:sz="0" w:space="0" w:color="auto"/>
          </w:divBdr>
        </w:div>
        <w:div w:id="1300377434">
          <w:marLeft w:val="720"/>
          <w:marRight w:val="0"/>
          <w:marTop w:val="720"/>
          <w:marBottom w:val="0"/>
          <w:divBdr>
            <w:top w:val="none" w:sz="0" w:space="0" w:color="auto"/>
            <w:left w:val="none" w:sz="0" w:space="0" w:color="auto"/>
            <w:bottom w:val="none" w:sz="0" w:space="0" w:color="auto"/>
            <w:right w:val="none" w:sz="0" w:space="0" w:color="auto"/>
          </w:divBdr>
        </w:div>
      </w:divsChild>
    </w:div>
    <w:div w:id="1115909191">
      <w:bodyDiv w:val="1"/>
      <w:marLeft w:val="0"/>
      <w:marRight w:val="0"/>
      <w:marTop w:val="0"/>
      <w:marBottom w:val="0"/>
      <w:divBdr>
        <w:top w:val="none" w:sz="0" w:space="0" w:color="auto"/>
        <w:left w:val="none" w:sz="0" w:space="0" w:color="auto"/>
        <w:bottom w:val="none" w:sz="0" w:space="0" w:color="auto"/>
        <w:right w:val="none" w:sz="0" w:space="0" w:color="auto"/>
      </w:divBdr>
      <w:divsChild>
        <w:div w:id="1357004044">
          <w:marLeft w:val="0"/>
          <w:marRight w:val="0"/>
          <w:marTop w:val="0"/>
          <w:marBottom w:val="0"/>
          <w:divBdr>
            <w:top w:val="none" w:sz="0" w:space="0" w:color="auto"/>
            <w:left w:val="none" w:sz="0" w:space="0" w:color="auto"/>
            <w:bottom w:val="none" w:sz="0" w:space="0" w:color="auto"/>
            <w:right w:val="none" w:sz="0" w:space="0" w:color="auto"/>
          </w:divBdr>
        </w:div>
        <w:div w:id="89743268">
          <w:marLeft w:val="0"/>
          <w:marRight w:val="0"/>
          <w:marTop w:val="0"/>
          <w:marBottom w:val="0"/>
          <w:divBdr>
            <w:top w:val="none" w:sz="0" w:space="0" w:color="auto"/>
            <w:left w:val="none" w:sz="0" w:space="0" w:color="auto"/>
            <w:bottom w:val="none" w:sz="0" w:space="0" w:color="auto"/>
            <w:right w:val="none" w:sz="0" w:space="0" w:color="auto"/>
          </w:divBdr>
        </w:div>
      </w:divsChild>
    </w:div>
    <w:div w:id="183672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01d95d-9a53-4690-91f2-3ea4d21374f2">
      <Terms xmlns="http://schemas.microsoft.com/office/infopath/2007/PartnerControls"/>
    </lcf76f155ced4ddcb4097134ff3c332f>
    <TaxCatchAll xmlns="0941c815-8673-45d9-bee9-a1453d13a96d" xsi:nil="true"/>
  </documentManagement>
</p:properties>
</file>

<file path=customXml/itemProps1.xml><?xml version="1.0" encoding="utf-8"?>
<ds:datastoreItem xmlns:ds="http://schemas.openxmlformats.org/officeDocument/2006/customXml" ds:itemID="{CF36FD87-DAF2-425C-BD5B-12452A435B0B}">
  <ds:schemaRefs>
    <ds:schemaRef ds:uri="http://schemas.microsoft.com/sharepoint/v3/contenttype/forms"/>
  </ds:schemaRefs>
</ds:datastoreItem>
</file>

<file path=customXml/itemProps2.xml><?xml version="1.0" encoding="utf-8"?>
<ds:datastoreItem xmlns:ds="http://schemas.openxmlformats.org/officeDocument/2006/customXml" ds:itemID="{3D1507E9-78D9-4984-8692-365A4B66106A}">
  <ds:schemaRefs>
    <ds:schemaRef ds:uri="http://schemas.microsoft.com/sharepoint/events"/>
  </ds:schemaRefs>
</ds:datastoreItem>
</file>

<file path=customXml/itemProps3.xml><?xml version="1.0" encoding="utf-8"?>
<ds:datastoreItem xmlns:ds="http://schemas.openxmlformats.org/officeDocument/2006/customXml" ds:itemID="{ED89145E-DFEB-4110-9699-387DCEFB7691}"/>
</file>

<file path=customXml/itemProps4.xml><?xml version="1.0" encoding="utf-8"?>
<ds:datastoreItem xmlns:ds="http://schemas.openxmlformats.org/officeDocument/2006/customXml" ds:itemID="{A04284B6-F62F-44C1-8F59-320F8B9CC49F}">
  <ds:schemaRefs>
    <ds:schemaRef ds:uri="http://schemas.microsoft.com/office/2006/metadata/properties"/>
    <ds:schemaRef ds:uri="http://schemas.microsoft.com/office/infopath/2007/PartnerControls"/>
    <ds:schemaRef ds:uri="dd40056b-a536-4161-8a6c-0fad1d319e0f"/>
    <ds:schemaRef ds:uri="http://schemas.microsoft.com/sharepoint/v3/fields"/>
    <ds:schemaRef ds:uri="cc35083a-82c3-4d90-825c-129faed25957"/>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Pages>
  <Words>2385</Words>
  <Characters>13119</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van Koutrik</dc:creator>
  <cp:keywords/>
  <dc:description/>
  <cp:lastModifiedBy>Joost van Koutrik</cp:lastModifiedBy>
  <cp:revision>190</cp:revision>
  <dcterms:created xsi:type="dcterms:W3CDTF">2022-04-06T13:01:00Z</dcterms:created>
  <dcterms:modified xsi:type="dcterms:W3CDTF">2022-04-29T11:10:00Z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0x010100A3E8B87B35426842948BBE07B397EF0A</vt:lpwstr>
  </property>
  <property fmtid="{D5CDD505-2E9C-101B-9397-08002B2CF9AE}" pid="3" name="_dlc_DocIdItemGuid">
    <vt:lpwstr>20c92073-b492-488c-9c7d-6b3423541f41</vt:lpwstr>
  </property>
  <property fmtid="{D5CDD505-2E9C-101B-9397-08002B2CF9AE}" pid="4" name="MediaServiceImageTags">
    <vt:lpwstr/>
  </property>
  <property fmtid="{D5CDD505-2E9C-101B-9397-08002B2CF9AE}" pid="5" name="Documentsoort">
    <vt:lpwstr/>
  </property>
</Properties>
</file>