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7FFA" w14:textId="77777777" w:rsidR="007F2A09" w:rsidRPr="007F2A09" w:rsidRDefault="00122432" w:rsidP="00A51CD4">
      <w:pPr>
        <w:pStyle w:val="WitregelW1bodytekst"/>
        <w:numPr>
          <w:ilvl w:val="0"/>
          <w:numId w:val="35"/>
        </w:numPr>
        <w:rPr>
          <w:b/>
        </w:rPr>
      </w:pPr>
      <w:r>
        <w:rPr>
          <w:b/>
        </w:rPr>
        <w:t>Achtergrond</w:t>
      </w:r>
    </w:p>
    <w:p w14:paraId="149C52FE" w14:textId="77777777" w:rsidR="00E72DB1" w:rsidRDefault="007F2A09" w:rsidP="007F2A09">
      <w:pPr>
        <w:pStyle w:val="WitregelW1bodytekst"/>
      </w:pPr>
      <w:r>
        <w:t>V</w:t>
      </w:r>
      <w:r w:rsidRPr="007F2A09">
        <w:t>oor de opvolging van de maatregelen uit de kabinetsreactie op het rapport ‘ongekend onrecht’ van de Parlementaire Ondervragingscommissie Kinderopvangtoeslag (hierna POK) zijn twee envelo</w:t>
      </w:r>
      <w:r>
        <w:t>ppes – dienstverlening en informatiehuishouding - vrijgemaakt</w:t>
      </w:r>
      <w:r w:rsidRPr="007F2A09">
        <w:t xml:space="preserve"> op de aanvullende post van Financiën</w:t>
      </w:r>
      <w:r>
        <w:t xml:space="preserve">. De enveloppe informatiehuishouding bestaat uit een aantal reeksen. </w:t>
      </w:r>
      <w:r w:rsidRPr="007F2A09">
        <w:t xml:space="preserve">De reeksen omtrent de Wet open Overheid (WOO) worden conform de bekende verdeling </w:t>
      </w:r>
      <w:r w:rsidR="00E72DB1">
        <w:t xml:space="preserve">op basis van de uitvoeringstoetsen </w:t>
      </w:r>
      <w:r w:rsidRPr="007F2A09">
        <w:t xml:space="preserve">door FIN overgeboekt naar de departementen. </w:t>
      </w:r>
    </w:p>
    <w:p w14:paraId="4C28A474" w14:textId="77777777" w:rsidR="00A82D15" w:rsidRDefault="007F2A09" w:rsidP="007F2A09">
      <w:pPr>
        <w:pStyle w:val="WitregelW1bodytekst"/>
      </w:pPr>
      <w:r w:rsidRPr="007F2A09">
        <w:t>De reeksen voor de Belastingdienst en UWV/SVB worden daar rechtstreeks naar overgeboekt.</w:t>
      </w:r>
      <w:r>
        <w:t xml:space="preserve"> </w:t>
      </w:r>
      <w:r w:rsidRPr="007F2A09">
        <w:t xml:space="preserve">De </w:t>
      </w:r>
      <w:proofErr w:type="spellStart"/>
      <w:r w:rsidRPr="007F2A09">
        <w:t>Rijksbrede</w:t>
      </w:r>
      <w:proofErr w:type="spellEnd"/>
      <w:r w:rsidRPr="007F2A09">
        <w:t xml:space="preserve"> verdeling van de budgettaire reeks informatiehuishouding en actieve openbaarmaking</w:t>
      </w:r>
      <w:r>
        <w:t xml:space="preserve"> </w:t>
      </w:r>
      <w:r w:rsidR="008A3538">
        <w:t xml:space="preserve">(A1) </w:t>
      </w:r>
      <w:r w:rsidRPr="007F2A09">
        <w:t>wordt door BZK</w:t>
      </w:r>
      <w:r>
        <w:t>-DGOO</w:t>
      </w:r>
      <w:r w:rsidRPr="007F2A09">
        <w:t xml:space="preserve"> gecoördineerd.</w:t>
      </w:r>
      <w:r>
        <w:t xml:space="preserve"> Deze notitie bevat de uitwerking van de plan</w:t>
      </w:r>
      <w:r w:rsidR="006D3289">
        <w:t>ning, criteria en verdeling</w:t>
      </w:r>
      <w:r>
        <w:t xml:space="preserve"> voor deze reeks</w:t>
      </w:r>
      <w:r w:rsidR="008A3538">
        <w:t xml:space="preserve"> A1</w:t>
      </w:r>
      <w:r w:rsidR="009C797F">
        <w:t xml:space="preserve"> en fungeert als financiële paragraaf</w:t>
      </w:r>
      <w:r w:rsidR="00A40C3A">
        <w:t xml:space="preserve"> bij het generieke actieplan ‘Open op Orde’ en het overkoepelende plan regeringscommissaris. </w:t>
      </w:r>
      <w:r w:rsidR="0041689F">
        <w:t>De financiële paragraaf zal bij najaarsnota 2021 – wanneer de onderliggende plannen van alle Rijksonderdelen zijn aangeleverd en beoordeeld - worden herijkt.</w:t>
      </w:r>
    </w:p>
    <w:p w14:paraId="4E39C93C" w14:textId="77777777" w:rsidR="007F2A09" w:rsidRDefault="007F2A09" w:rsidP="007F2A09"/>
    <w:p w14:paraId="19E9ED7F" w14:textId="77777777" w:rsidR="007F2A09" w:rsidRPr="00762091" w:rsidRDefault="008A3538" w:rsidP="00A51CD4">
      <w:pPr>
        <w:pStyle w:val="Lijstalinea"/>
        <w:numPr>
          <w:ilvl w:val="0"/>
          <w:numId w:val="35"/>
        </w:numPr>
        <w:rPr>
          <w:b/>
        </w:rPr>
      </w:pPr>
      <w:r w:rsidRPr="00762091">
        <w:rPr>
          <w:b/>
        </w:rPr>
        <w:t>Opbouw middelen reeks A1</w:t>
      </w:r>
      <w:r w:rsidR="006139E0">
        <w:rPr>
          <w:b/>
        </w:rPr>
        <w:t xml:space="preserve"> 2021-2026</w:t>
      </w:r>
    </w:p>
    <w:p w14:paraId="3E48EDCA" w14:textId="77777777" w:rsidR="00707136" w:rsidRDefault="008A3538" w:rsidP="007F2A09">
      <w:r>
        <w:t>De middelen in de reeks A1 zijn bestemd voor alle onderdelen van de Rijksoverheid, inclusief ZBO</w:t>
      </w:r>
      <w:r w:rsidR="006D3289">
        <w:t>’</w:t>
      </w:r>
      <w:r>
        <w:t xml:space="preserve">s, </w:t>
      </w:r>
      <w:proofErr w:type="spellStart"/>
      <w:r>
        <w:t>Sui</w:t>
      </w:r>
      <w:proofErr w:type="spellEnd"/>
      <w:r>
        <w:t xml:space="preserve"> </w:t>
      </w:r>
      <w:proofErr w:type="spellStart"/>
      <w:r>
        <w:t>Generis</w:t>
      </w:r>
      <w:proofErr w:type="spellEnd"/>
      <w:r>
        <w:t xml:space="preserve">-organisaties en Hoge Colleges van Staat. Dit is in lijn met de reikwijdte van het aan de Tweede Kamer toegezegde generieke actieplan </w:t>
      </w:r>
      <w:r w:rsidR="00122432">
        <w:t xml:space="preserve">‘Open op orde’ en het overkoepelende plan van de regeringscommissaris informatiehuishouding i.o. </w:t>
      </w:r>
      <w:r w:rsidR="00707136">
        <w:t xml:space="preserve">Hierbij zal uiteraard rekening worden gehouden met de bijzondere zelfstandige positie van de Hoge Colleges en de </w:t>
      </w:r>
      <w:proofErr w:type="spellStart"/>
      <w:r w:rsidR="00707136">
        <w:t>Sui</w:t>
      </w:r>
      <w:proofErr w:type="spellEnd"/>
      <w:r w:rsidR="00707136">
        <w:t xml:space="preserve"> </w:t>
      </w:r>
      <w:proofErr w:type="spellStart"/>
      <w:r w:rsidR="00707136">
        <w:t>Generis</w:t>
      </w:r>
      <w:proofErr w:type="spellEnd"/>
      <w:r w:rsidR="00707136">
        <w:t xml:space="preserve">-organisaties. In overleg met de kwartiermaker regeringscommissaris zal </w:t>
      </w:r>
      <w:r w:rsidR="00157D3E">
        <w:t xml:space="preserve">samen worden bezien of het hier </w:t>
      </w:r>
      <w:r w:rsidR="00707136">
        <w:t xml:space="preserve">geschetste proces, inclusief de gestelde financiële voorwaarden en de voorziene verantwoording, in volledigheid kan worden gevolgd of dat hier op onderdelen van moet worden afgeweken.  </w:t>
      </w:r>
    </w:p>
    <w:p w14:paraId="0ED73142" w14:textId="77777777" w:rsidR="004E0218" w:rsidRDefault="00122432" w:rsidP="007F2A09">
      <w:r>
        <w:t xml:space="preserve">Deze </w:t>
      </w:r>
      <w:r w:rsidR="008A3538">
        <w:t xml:space="preserve">notitie </w:t>
      </w:r>
      <w:r>
        <w:t>f</w:t>
      </w:r>
      <w:r w:rsidR="009C797F">
        <w:t>ungeert als financiële paragraaf</w:t>
      </w:r>
      <w:r>
        <w:t xml:space="preserve"> van </w:t>
      </w:r>
      <w:r w:rsidR="00707136">
        <w:t xml:space="preserve">‘Open op Orde’ en het overkoepelende plan van de regeringscommissaris. </w:t>
      </w:r>
      <w:r>
        <w:t>De</w:t>
      </w:r>
      <w:r w:rsidR="004E0218">
        <w:t xml:space="preserve"> </w:t>
      </w:r>
      <w:r w:rsidR="00707136">
        <w:t xml:space="preserve">hiervoor beschikbare </w:t>
      </w:r>
      <w:r w:rsidR="004E0218">
        <w:t>re</w:t>
      </w:r>
      <w:r w:rsidR="006D3289">
        <w:t xml:space="preserve">eks wordt in onderstaande </w:t>
      </w:r>
      <w:r w:rsidR="004E0218" w:rsidRPr="004E0218">
        <w:t>budgettaire tabel</w:t>
      </w:r>
      <w:r w:rsidR="004E0218">
        <w:t xml:space="preserve"> </w:t>
      </w:r>
      <w:r w:rsidR="004E0218" w:rsidRPr="004E0218">
        <w:t>met een begrotingshorizon tot 2026 gepresenteerd maar loopt ook stru</w:t>
      </w:r>
      <w:r w:rsidR="004E0218">
        <w:t xml:space="preserve">ctureel door in </w:t>
      </w:r>
      <w:r w:rsidR="00F873DD">
        <w:t>daarop</w:t>
      </w:r>
      <w:r w:rsidR="004E0218">
        <w:t>volgende jaren.</w:t>
      </w:r>
    </w:p>
    <w:tbl>
      <w:tblPr>
        <w:tblW w:w="9082" w:type="dxa"/>
        <w:tblInd w:w="70" w:type="dxa"/>
        <w:tblCellMar>
          <w:left w:w="70" w:type="dxa"/>
          <w:right w:w="70" w:type="dxa"/>
        </w:tblCellMar>
        <w:tblLook w:val="04A0" w:firstRow="1" w:lastRow="0" w:firstColumn="1" w:lastColumn="0" w:noHBand="0" w:noVBand="1"/>
      </w:tblPr>
      <w:tblGrid>
        <w:gridCol w:w="3330"/>
        <w:gridCol w:w="617"/>
        <w:gridCol w:w="617"/>
        <w:gridCol w:w="617"/>
        <w:gridCol w:w="617"/>
        <w:gridCol w:w="146"/>
        <w:gridCol w:w="146"/>
        <w:gridCol w:w="546"/>
        <w:gridCol w:w="850"/>
        <w:gridCol w:w="851"/>
        <w:gridCol w:w="860"/>
      </w:tblGrid>
      <w:tr w:rsidR="00F873DD" w:rsidRPr="008A3538" w14:paraId="41BE1397" w14:textId="77777777" w:rsidTr="00716D9D">
        <w:trPr>
          <w:trHeight w:val="240"/>
        </w:trPr>
        <w:tc>
          <w:tcPr>
            <w:tcW w:w="3947" w:type="dxa"/>
            <w:gridSpan w:val="2"/>
            <w:tcBorders>
              <w:top w:val="nil"/>
              <w:left w:val="nil"/>
              <w:bottom w:val="nil"/>
              <w:right w:val="nil"/>
            </w:tcBorders>
            <w:shd w:val="clear" w:color="auto" w:fill="auto"/>
            <w:noWrap/>
            <w:vAlign w:val="bottom"/>
            <w:hideMark/>
          </w:tcPr>
          <w:p w14:paraId="70896067" w14:textId="77777777" w:rsidR="00F873DD" w:rsidRPr="008A3538" w:rsidRDefault="00F873DD" w:rsidP="008A3538">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61444ECB" w14:textId="77777777" w:rsidR="00F873DD" w:rsidRPr="008A3538" w:rsidRDefault="00F873DD" w:rsidP="008A3538">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148FB9DC" w14:textId="77777777" w:rsidR="00F873DD" w:rsidRPr="008A3538" w:rsidRDefault="00F873DD" w:rsidP="008A3538">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68D9E6EA" w14:textId="77777777" w:rsidR="00F873DD" w:rsidRPr="008A3538" w:rsidRDefault="00F873DD" w:rsidP="008A3538">
            <w:pPr>
              <w:autoSpaceDN/>
              <w:spacing w:line="240" w:lineRule="auto"/>
              <w:textAlignment w:val="auto"/>
              <w:rPr>
                <w:rFonts w:ascii="Times New Roman" w:eastAsia="Times New Roman" w:hAnsi="Times New Roman" w:cs="Times New Roman"/>
                <w:color w:val="auto"/>
                <w:sz w:val="20"/>
                <w:szCs w:val="20"/>
              </w:rPr>
            </w:pPr>
          </w:p>
        </w:tc>
        <w:tc>
          <w:tcPr>
            <w:tcW w:w="146" w:type="dxa"/>
            <w:tcBorders>
              <w:top w:val="nil"/>
              <w:left w:val="nil"/>
              <w:bottom w:val="nil"/>
              <w:right w:val="nil"/>
            </w:tcBorders>
          </w:tcPr>
          <w:p w14:paraId="0A7C8F7B" w14:textId="77777777" w:rsidR="00F873DD" w:rsidRPr="008A3538" w:rsidRDefault="00F873DD" w:rsidP="008A3538">
            <w:pPr>
              <w:autoSpaceDN/>
              <w:spacing w:line="240" w:lineRule="auto"/>
              <w:textAlignment w:val="auto"/>
              <w:rPr>
                <w:rFonts w:ascii="Times New Roman" w:eastAsia="Times New Roman" w:hAnsi="Times New Roman" w:cs="Times New Roman"/>
                <w:color w:val="auto"/>
                <w:sz w:val="20"/>
                <w:szCs w:val="20"/>
              </w:rPr>
            </w:pPr>
          </w:p>
        </w:tc>
        <w:tc>
          <w:tcPr>
            <w:tcW w:w="146" w:type="dxa"/>
            <w:tcBorders>
              <w:top w:val="nil"/>
              <w:left w:val="nil"/>
              <w:bottom w:val="nil"/>
              <w:right w:val="nil"/>
            </w:tcBorders>
          </w:tcPr>
          <w:p w14:paraId="67990772" w14:textId="77777777" w:rsidR="00F873DD" w:rsidRPr="008A3538" w:rsidRDefault="00F873DD" w:rsidP="008A3538">
            <w:pPr>
              <w:autoSpaceDN/>
              <w:spacing w:line="240" w:lineRule="auto"/>
              <w:textAlignment w:val="auto"/>
              <w:rPr>
                <w:rFonts w:ascii="Times New Roman" w:eastAsia="Times New Roman" w:hAnsi="Times New Roman" w:cs="Times New Roman"/>
                <w:color w:val="auto"/>
                <w:sz w:val="20"/>
                <w:szCs w:val="20"/>
              </w:rPr>
            </w:pPr>
          </w:p>
        </w:tc>
        <w:tc>
          <w:tcPr>
            <w:tcW w:w="431" w:type="dxa"/>
            <w:tcBorders>
              <w:top w:val="nil"/>
              <w:left w:val="nil"/>
              <w:bottom w:val="nil"/>
              <w:right w:val="nil"/>
            </w:tcBorders>
            <w:shd w:val="clear" w:color="auto" w:fill="auto"/>
            <w:noWrap/>
            <w:vAlign w:val="bottom"/>
            <w:hideMark/>
          </w:tcPr>
          <w:p w14:paraId="74BF8F3B" w14:textId="77777777" w:rsidR="00F873DD" w:rsidRPr="008A3538" w:rsidRDefault="00F873DD" w:rsidP="008A3538">
            <w:pPr>
              <w:autoSpaceDN/>
              <w:spacing w:line="240" w:lineRule="auto"/>
              <w:textAlignment w:val="auto"/>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14:paraId="73E6BD12" w14:textId="77777777" w:rsidR="00F873DD" w:rsidRDefault="00F873DD" w:rsidP="008A3538">
            <w:pPr>
              <w:autoSpaceDN/>
              <w:spacing w:line="240" w:lineRule="auto"/>
              <w:textAlignment w:val="auto"/>
              <w:rPr>
                <w:rFonts w:ascii="Times New Roman" w:eastAsia="Times New Roman" w:hAnsi="Times New Roman" w:cs="Times New Roman"/>
                <w:color w:val="auto"/>
                <w:sz w:val="20"/>
                <w:szCs w:val="20"/>
              </w:rPr>
            </w:pPr>
          </w:p>
          <w:p w14:paraId="75F05871" w14:textId="77777777" w:rsidR="00707136" w:rsidRDefault="00707136" w:rsidP="008A3538">
            <w:pPr>
              <w:autoSpaceDN/>
              <w:spacing w:line="240" w:lineRule="auto"/>
              <w:textAlignment w:val="auto"/>
              <w:rPr>
                <w:rFonts w:ascii="Times New Roman" w:eastAsia="Times New Roman" w:hAnsi="Times New Roman" w:cs="Times New Roman"/>
                <w:color w:val="auto"/>
                <w:sz w:val="20"/>
                <w:szCs w:val="20"/>
              </w:rPr>
            </w:pPr>
          </w:p>
          <w:p w14:paraId="207DDF76" w14:textId="77777777" w:rsidR="00707136" w:rsidRDefault="00707136" w:rsidP="008A3538">
            <w:pPr>
              <w:autoSpaceDN/>
              <w:spacing w:line="240" w:lineRule="auto"/>
              <w:textAlignment w:val="auto"/>
              <w:rPr>
                <w:rFonts w:ascii="Times New Roman" w:eastAsia="Times New Roman" w:hAnsi="Times New Roman" w:cs="Times New Roman"/>
                <w:color w:val="auto"/>
                <w:sz w:val="20"/>
                <w:szCs w:val="20"/>
              </w:rPr>
            </w:pPr>
          </w:p>
          <w:p w14:paraId="17F287D0" w14:textId="77777777" w:rsidR="00707136" w:rsidRDefault="00707136" w:rsidP="008A3538">
            <w:pPr>
              <w:autoSpaceDN/>
              <w:spacing w:line="240" w:lineRule="auto"/>
              <w:textAlignment w:val="auto"/>
              <w:rPr>
                <w:rFonts w:ascii="Times New Roman" w:eastAsia="Times New Roman" w:hAnsi="Times New Roman" w:cs="Times New Roman"/>
                <w:color w:val="auto"/>
                <w:sz w:val="20"/>
                <w:szCs w:val="20"/>
              </w:rPr>
            </w:pPr>
          </w:p>
          <w:p w14:paraId="4E50F726" w14:textId="77777777" w:rsidR="00707136" w:rsidRPr="008A3538" w:rsidRDefault="00707136" w:rsidP="008A3538">
            <w:pPr>
              <w:autoSpaceDN/>
              <w:spacing w:line="240" w:lineRule="auto"/>
              <w:textAlignment w:val="auto"/>
              <w:rPr>
                <w:rFonts w:ascii="Times New Roman" w:eastAsia="Times New Roman" w:hAnsi="Times New Roman" w:cs="Times New Roman"/>
                <w:color w:val="auto"/>
                <w:sz w:val="20"/>
                <w:szCs w:val="20"/>
              </w:rPr>
            </w:pPr>
          </w:p>
        </w:tc>
        <w:tc>
          <w:tcPr>
            <w:tcW w:w="1711" w:type="dxa"/>
            <w:gridSpan w:val="2"/>
            <w:tcBorders>
              <w:top w:val="nil"/>
              <w:left w:val="nil"/>
              <w:bottom w:val="nil"/>
              <w:right w:val="nil"/>
            </w:tcBorders>
            <w:shd w:val="clear" w:color="auto" w:fill="auto"/>
            <w:noWrap/>
            <w:vAlign w:val="bottom"/>
            <w:hideMark/>
          </w:tcPr>
          <w:p w14:paraId="13265CAD" w14:textId="77777777" w:rsidR="00F873DD" w:rsidRPr="008A3538" w:rsidRDefault="00F873DD" w:rsidP="008A3538">
            <w:pPr>
              <w:autoSpaceDN/>
              <w:spacing w:line="240" w:lineRule="auto"/>
              <w:textAlignment w:val="auto"/>
              <w:rPr>
                <w:rFonts w:ascii="Times New Roman" w:eastAsia="Times New Roman" w:hAnsi="Times New Roman" w:cs="Times New Roman"/>
                <w:color w:val="auto"/>
                <w:sz w:val="20"/>
                <w:szCs w:val="20"/>
              </w:rPr>
            </w:pPr>
          </w:p>
        </w:tc>
      </w:tr>
      <w:tr w:rsidR="00F873DD" w:rsidRPr="008A3538" w14:paraId="0DC1A446" w14:textId="77777777" w:rsidTr="00716D9D">
        <w:trPr>
          <w:gridAfter w:val="1"/>
          <w:wAfter w:w="860" w:type="dxa"/>
          <w:trHeight w:val="476"/>
        </w:trPr>
        <w:tc>
          <w:tcPr>
            <w:tcW w:w="33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4027148" w14:textId="77777777" w:rsidR="00F873DD" w:rsidRPr="008A3538" w:rsidRDefault="00F873DD" w:rsidP="008A3538">
            <w:pPr>
              <w:autoSpaceDN/>
              <w:spacing w:line="240" w:lineRule="auto"/>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lastRenderedPageBreak/>
              <w:t>Enveloppe A.1. Informatiehuishouding en actieve openbaarmaking (bedragen in € x 1 mln.)</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5CC0A06F" w14:textId="77777777" w:rsidR="00F873DD" w:rsidRPr="008A3538" w:rsidRDefault="00F873DD" w:rsidP="008A3538">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64D7B4E3" w14:textId="77777777" w:rsidR="00F873DD" w:rsidRPr="008A3538" w:rsidRDefault="00F873DD" w:rsidP="008A3538">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42435E41" w14:textId="77777777" w:rsidR="00F873DD" w:rsidRPr="008A3538" w:rsidRDefault="00F873DD" w:rsidP="008A3538">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2D83ABC5" w14:textId="77777777" w:rsidR="00F873DD" w:rsidRPr="008A3538" w:rsidRDefault="00F873DD" w:rsidP="008A3538">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2024</w:t>
            </w:r>
          </w:p>
        </w:tc>
        <w:tc>
          <w:tcPr>
            <w:tcW w:w="146" w:type="dxa"/>
            <w:tcBorders>
              <w:top w:val="single" w:sz="4" w:space="0" w:color="auto"/>
              <w:left w:val="nil"/>
              <w:bottom w:val="single" w:sz="4" w:space="0" w:color="auto"/>
              <w:right w:val="nil"/>
            </w:tcBorders>
            <w:shd w:val="clear" w:color="000000" w:fill="9BC2E6"/>
          </w:tcPr>
          <w:p w14:paraId="2F617B56" w14:textId="77777777" w:rsidR="00F873DD" w:rsidRPr="008A3538" w:rsidRDefault="00F873DD" w:rsidP="008A3538">
            <w:pPr>
              <w:autoSpaceDN/>
              <w:spacing w:line="240" w:lineRule="auto"/>
              <w:jc w:val="center"/>
              <w:textAlignment w:val="auto"/>
              <w:rPr>
                <w:rFonts w:ascii="Calibri Light" w:eastAsia="Times New Roman" w:hAnsi="Calibri Light" w:cs="Calibri Light"/>
                <w:b/>
                <w:bCs/>
                <w:color w:val="auto"/>
                <w:sz w:val="20"/>
                <w:szCs w:val="20"/>
              </w:rPr>
            </w:pPr>
          </w:p>
        </w:tc>
        <w:tc>
          <w:tcPr>
            <w:tcW w:w="146" w:type="dxa"/>
            <w:tcBorders>
              <w:top w:val="single" w:sz="4" w:space="0" w:color="auto"/>
              <w:left w:val="nil"/>
              <w:bottom w:val="single" w:sz="4" w:space="0" w:color="auto"/>
              <w:right w:val="nil"/>
            </w:tcBorders>
            <w:shd w:val="clear" w:color="000000" w:fill="9BC2E6"/>
          </w:tcPr>
          <w:p w14:paraId="49C552C1" w14:textId="77777777" w:rsidR="00F873DD" w:rsidRPr="008A3538" w:rsidRDefault="00716D9D" w:rsidP="00716D9D">
            <w:pPr>
              <w:autoSpaceDN/>
              <w:spacing w:line="240" w:lineRule="auto"/>
              <w:textAlignment w:val="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 xml:space="preserve">       </w:t>
            </w:r>
          </w:p>
        </w:tc>
        <w:tc>
          <w:tcPr>
            <w:tcW w:w="431" w:type="dxa"/>
            <w:tcBorders>
              <w:top w:val="single" w:sz="4" w:space="0" w:color="auto"/>
              <w:left w:val="nil"/>
              <w:bottom w:val="single" w:sz="4" w:space="0" w:color="auto"/>
              <w:right w:val="single" w:sz="4" w:space="0" w:color="auto"/>
            </w:tcBorders>
            <w:shd w:val="clear" w:color="000000" w:fill="9BC2E6"/>
            <w:vAlign w:val="center"/>
            <w:hideMark/>
          </w:tcPr>
          <w:p w14:paraId="32049F04" w14:textId="77777777" w:rsidR="00F873DD" w:rsidRPr="008A3538" w:rsidRDefault="00716D9D" w:rsidP="00716D9D">
            <w:pPr>
              <w:autoSpaceDN/>
              <w:spacing w:line="240" w:lineRule="auto"/>
              <w:textAlignment w:val="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2025</w:t>
            </w:r>
          </w:p>
        </w:tc>
        <w:tc>
          <w:tcPr>
            <w:tcW w:w="850" w:type="dxa"/>
            <w:tcBorders>
              <w:top w:val="single" w:sz="4" w:space="0" w:color="auto"/>
              <w:left w:val="nil"/>
              <w:bottom w:val="single" w:sz="4" w:space="0" w:color="auto"/>
              <w:right w:val="single" w:sz="4" w:space="0" w:color="auto"/>
            </w:tcBorders>
            <w:shd w:val="clear" w:color="000000" w:fill="9BC2E6"/>
            <w:vAlign w:val="center"/>
            <w:hideMark/>
          </w:tcPr>
          <w:p w14:paraId="76551B51" w14:textId="77777777" w:rsidR="00F873DD" w:rsidRPr="008A3538" w:rsidRDefault="00716D9D" w:rsidP="008A3538">
            <w:pPr>
              <w:autoSpaceDN/>
              <w:spacing w:line="240" w:lineRule="auto"/>
              <w:jc w:val="center"/>
              <w:textAlignment w:val="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 xml:space="preserve">2026              </w:t>
            </w:r>
          </w:p>
        </w:tc>
        <w:tc>
          <w:tcPr>
            <w:tcW w:w="851" w:type="dxa"/>
            <w:tcBorders>
              <w:top w:val="single" w:sz="4" w:space="0" w:color="auto"/>
              <w:left w:val="nil"/>
              <w:bottom w:val="single" w:sz="4" w:space="0" w:color="auto"/>
              <w:right w:val="single" w:sz="4" w:space="0" w:color="auto"/>
            </w:tcBorders>
            <w:shd w:val="clear" w:color="000000" w:fill="9BC2E6"/>
            <w:vAlign w:val="center"/>
            <w:hideMark/>
          </w:tcPr>
          <w:p w14:paraId="3A05DB7A" w14:textId="77777777" w:rsidR="00F873DD" w:rsidRPr="008A3538" w:rsidRDefault="00F873DD" w:rsidP="008A3538">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Totaal</w:t>
            </w:r>
          </w:p>
        </w:tc>
      </w:tr>
      <w:tr w:rsidR="00F873DD" w:rsidRPr="008A3538" w14:paraId="4F77B0BF" w14:textId="77777777" w:rsidTr="00716D9D">
        <w:trPr>
          <w:gridAfter w:val="1"/>
          <w:wAfter w:w="860" w:type="dxa"/>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58C7D9CF" w14:textId="77777777" w:rsidR="00F873DD" w:rsidRPr="008A3538" w:rsidRDefault="00F873DD" w:rsidP="008A3538">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Geoormerkte middelen IHH</w:t>
            </w:r>
          </w:p>
        </w:tc>
        <w:tc>
          <w:tcPr>
            <w:tcW w:w="617" w:type="dxa"/>
            <w:tcBorders>
              <w:top w:val="nil"/>
              <w:left w:val="nil"/>
              <w:bottom w:val="single" w:sz="4" w:space="0" w:color="auto"/>
              <w:right w:val="single" w:sz="4" w:space="0" w:color="auto"/>
            </w:tcBorders>
            <w:shd w:val="clear" w:color="auto" w:fill="auto"/>
            <w:noWrap/>
            <w:vAlign w:val="bottom"/>
            <w:hideMark/>
          </w:tcPr>
          <w:p w14:paraId="05FBC5E0"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43</w:t>
            </w:r>
          </w:p>
        </w:tc>
        <w:tc>
          <w:tcPr>
            <w:tcW w:w="617" w:type="dxa"/>
            <w:tcBorders>
              <w:top w:val="nil"/>
              <w:left w:val="nil"/>
              <w:bottom w:val="single" w:sz="4" w:space="0" w:color="auto"/>
              <w:right w:val="single" w:sz="4" w:space="0" w:color="auto"/>
            </w:tcBorders>
            <w:shd w:val="clear" w:color="auto" w:fill="auto"/>
            <w:noWrap/>
            <w:vAlign w:val="bottom"/>
            <w:hideMark/>
          </w:tcPr>
          <w:p w14:paraId="26E2D687"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41</w:t>
            </w:r>
          </w:p>
        </w:tc>
        <w:tc>
          <w:tcPr>
            <w:tcW w:w="617" w:type="dxa"/>
            <w:tcBorders>
              <w:top w:val="nil"/>
              <w:left w:val="nil"/>
              <w:bottom w:val="single" w:sz="4" w:space="0" w:color="auto"/>
              <w:right w:val="single" w:sz="4" w:space="0" w:color="auto"/>
            </w:tcBorders>
            <w:shd w:val="clear" w:color="auto" w:fill="auto"/>
            <w:noWrap/>
            <w:vAlign w:val="bottom"/>
            <w:hideMark/>
          </w:tcPr>
          <w:p w14:paraId="674CBCB3"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40</w:t>
            </w:r>
          </w:p>
        </w:tc>
        <w:tc>
          <w:tcPr>
            <w:tcW w:w="617" w:type="dxa"/>
            <w:tcBorders>
              <w:top w:val="nil"/>
              <w:left w:val="nil"/>
              <w:bottom w:val="single" w:sz="4" w:space="0" w:color="auto"/>
              <w:right w:val="single" w:sz="4" w:space="0" w:color="auto"/>
            </w:tcBorders>
            <w:shd w:val="clear" w:color="auto" w:fill="auto"/>
            <w:noWrap/>
            <w:vAlign w:val="bottom"/>
            <w:hideMark/>
          </w:tcPr>
          <w:p w14:paraId="05F0200F"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39</w:t>
            </w:r>
          </w:p>
        </w:tc>
        <w:tc>
          <w:tcPr>
            <w:tcW w:w="146" w:type="dxa"/>
            <w:tcBorders>
              <w:top w:val="nil"/>
              <w:left w:val="nil"/>
              <w:bottom w:val="single" w:sz="4" w:space="0" w:color="auto"/>
              <w:right w:val="nil"/>
            </w:tcBorders>
          </w:tcPr>
          <w:p w14:paraId="680A8AAE"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146" w:type="dxa"/>
            <w:tcBorders>
              <w:top w:val="nil"/>
              <w:left w:val="nil"/>
              <w:bottom w:val="single" w:sz="4" w:space="0" w:color="auto"/>
              <w:right w:val="nil"/>
            </w:tcBorders>
          </w:tcPr>
          <w:p w14:paraId="77772DFE"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431" w:type="dxa"/>
            <w:tcBorders>
              <w:top w:val="nil"/>
              <w:left w:val="nil"/>
              <w:bottom w:val="single" w:sz="4" w:space="0" w:color="auto"/>
              <w:right w:val="single" w:sz="4" w:space="0" w:color="auto"/>
            </w:tcBorders>
            <w:shd w:val="clear" w:color="auto" w:fill="auto"/>
            <w:noWrap/>
            <w:vAlign w:val="bottom"/>
            <w:hideMark/>
          </w:tcPr>
          <w:p w14:paraId="322C61FC"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39</w:t>
            </w:r>
          </w:p>
        </w:tc>
        <w:tc>
          <w:tcPr>
            <w:tcW w:w="850" w:type="dxa"/>
            <w:tcBorders>
              <w:top w:val="nil"/>
              <w:left w:val="nil"/>
              <w:bottom w:val="single" w:sz="4" w:space="0" w:color="auto"/>
              <w:right w:val="single" w:sz="4" w:space="0" w:color="auto"/>
            </w:tcBorders>
            <w:shd w:val="clear" w:color="auto" w:fill="auto"/>
            <w:noWrap/>
            <w:vAlign w:val="bottom"/>
            <w:hideMark/>
          </w:tcPr>
          <w:p w14:paraId="6BB7CBFF"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39</w:t>
            </w:r>
          </w:p>
        </w:tc>
        <w:tc>
          <w:tcPr>
            <w:tcW w:w="851" w:type="dxa"/>
            <w:tcBorders>
              <w:top w:val="nil"/>
              <w:left w:val="nil"/>
              <w:bottom w:val="single" w:sz="4" w:space="0" w:color="auto"/>
              <w:right w:val="single" w:sz="4" w:space="0" w:color="auto"/>
            </w:tcBorders>
            <w:shd w:val="clear" w:color="auto" w:fill="auto"/>
            <w:noWrap/>
            <w:vAlign w:val="bottom"/>
            <w:hideMark/>
          </w:tcPr>
          <w:p w14:paraId="0519F279" w14:textId="77777777" w:rsidR="00F873DD" w:rsidRPr="008A3538" w:rsidRDefault="00F873DD" w:rsidP="008A3538">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F873DD" w:rsidRPr="008A3538" w14:paraId="1E928936" w14:textId="77777777" w:rsidTr="00716D9D">
        <w:trPr>
          <w:gridAfter w:val="1"/>
          <w:wAfter w:w="860" w:type="dxa"/>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3DC47058" w14:textId="77777777" w:rsidR="00F873DD" w:rsidRPr="008A3538" w:rsidRDefault="00F873DD" w:rsidP="008A3538">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Niet-geoormerkte middelen IHH</w:t>
            </w:r>
          </w:p>
        </w:tc>
        <w:tc>
          <w:tcPr>
            <w:tcW w:w="617" w:type="dxa"/>
            <w:tcBorders>
              <w:top w:val="nil"/>
              <w:left w:val="nil"/>
              <w:bottom w:val="single" w:sz="4" w:space="0" w:color="auto"/>
              <w:right w:val="single" w:sz="4" w:space="0" w:color="auto"/>
            </w:tcBorders>
            <w:shd w:val="clear" w:color="auto" w:fill="auto"/>
            <w:noWrap/>
            <w:vAlign w:val="bottom"/>
            <w:hideMark/>
          </w:tcPr>
          <w:p w14:paraId="3416BB75"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53</w:t>
            </w:r>
          </w:p>
        </w:tc>
        <w:tc>
          <w:tcPr>
            <w:tcW w:w="617" w:type="dxa"/>
            <w:tcBorders>
              <w:top w:val="nil"/>
              <w:left w:val="nil"/>
              <w:bottom w:val="single" w:sz="4" w:space="0" w:color="auto"/>
              <w:right w:val="single" w:sz="4" w:space="0" w:color="auto"/>
            </w:tcBorders>
            <w:shd w:val="clear" w:color="auto" w:fill="auto"/>
            <w:noWrap/>
            <w:vAlign w:val="bottom"/>
            <w:hideMark/>
          </w:tcPr>
          <w:p w14:paraId="67224906"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97</w:t>
            </w:r>
          </w:p>
        </w:tc>
        <w:tc>
          <w:tcPr>
            <w:tcW w:w="617" w:type="dxa"/>
            <w:tcBorders>
              <w:top w:val="nil"/>
              <w:left w:val="nil"/>
              <w:bottom w:val="single" w:sz="4" w:space="0" w:color="auto"/>
              <w:right w:val="single" w:sz="4" w:space="0" w:color="auto"/>
            </w:tcBorders>
            <w:shd w:val="clear" w:color="auto" w:fill="auto"/>
            <w:noWrap/>
            <w:vAlign w:val="bottom"/>
            <w:hideMark/>
          </w:tcPr>
          <w:p w14:paraId="29585CFF"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99</w:t>
            </w:r>
          </w:p>
        </w:tc>
        <w:tc>
          <w:tcPr>
            <w:tcW w:w="617" w:type="dxa"/>
            <w:tcBorders>
              <w:top w:val="nil"/>
              <w:left w:val="nil"/>
              <w:bottom w:val="single" w:sz="4" w:space="0" w:color="auto"/>
              <w:right w:val="single" w:sz="4" w:space="0" w:color="auto"/>
            </w:tcBorders>
            <w:shd w:val="clear" w:color="auto" w:fill="auto"/>
            <w:noWrap/>
            <w:vAlign w:val="bottom"/>
            <w:hideMark/>
          </w:tcPr>
          <w:p w14:paraId="3DF4791B"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75</w:t>
            </w:r>
          </w:p>
        </w:tc>
        <w:tc>
          <w:tcPr>
            <w:tcW w:w="146" w:type="dxa"/>
            <w:tcBorders>
              <w:top w:val="nil"/>
              <w:left w:val="nil"/>
              <w:bottom w:val="single" w:sz="4" w:space="0" w:color="auto"/>
              <w:right w:val="nil"/>
            </w:tcBorders>
          </w:tcPr>
          <w:p w14:paraId="66D6CBCF"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146" w:type="dxa"/>
            <w:tcBorders>
              <w:top w:val="nil"/>
              <w:left w:val="nil"/>
              <w:bottom w:val="single" w:sz="4" w:space="0" w:color="auto"/>
              <w:right w:val="nil"/>
            </w:tcBorders>
          </w:tcPr>
          <w:p w14:paraId="5955BD95"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431" w:type="dxa"/>
            <w:tcBorders>
              <w:top w:val="nil"/>
              <w:left w:val="nil"/>
              <w:bottom w:val="single" w:sz="4" w:space="0" w:color="auto"/>
              <w:right w:val="single" w:sz="4" w:space="0" w:color="auto"/>
            </w:tcBorders>
            <w:shd w:val="clear" w:color="auto" w:fill="auto"/>
            <w:noWrap/>
            <w:vAlign w:val="bottom"/>
            <w:hideMark/>
          </w:tcPr>
          <w:p w14:paraId="4956E0DC"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75</w:t>
            </w:r>
          </w:p>
        </w:tc>
        <w:tc>
          <w:tcPr>
            <w:tcW w:w="850" w:type="dxa"/>
            <w:tcBorders>
              <w:top w:val="nil"/>
              <w:left w:val="nil"/>
              <w:bottom w:val="single" w:sz="4" w:space="0" w:color="auto"/>
              <w:right w:val="single" w:sz="4" w:space="0" w:color="auto"/>
            </w:tcBorders>
            <w:shd w:val="clear" w:color="auto" w:fill="auto"/>
            <w:noWrap/>
            <w:vAlign w:val="bottom"/>
            <w:hideMark/>
          </w:tcPr>
          <w:p w14:paraId="24FD28B2"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75</w:t>
            </w:r>
          </w:p>
        </w:tc>
        <w:tc>
          <w:tcPr>
            <w:tcW w:w="851" w:type="dxa"/>
            <w:tcBorders>
              <w:top w:val="nil"/>
              <w:left w:val="nil"/>
              <w:bottom w:val="single" w:sz="4" w:space="0" w:color="auto"/>
              <w:right w:val="single" w:sz="4" w:space="0" w:color="auto"/>
            </w:tcBorders>
            <w:shd w:val="clear" w:color="auto" w:fill="auto"/>
            <w:noWrap/>
            <w:vAlign w:val="bottom"/>
            <w:hideMark/>
          </w:tcPr>
          <w:p w14:paraId="1F0F072A" w14:textId="77777777" w:rsidR="00F873DD" w:rsidRPr="008A3538" w:rsidRDefault="00F873DD" w:rsidP="008A3538">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F873DD" w:rsidRPr="008A3538" w14:paraId="40B86EE5" w14:textId="77777777" w:rsidTr="00716D9D">
        <w:trPr>
          <w:gridAfter w:val="1"/>
          <w:wAfter w:w="860" w:type="dxa"/>
          <w:trHeight w:val="240"/>
        </w:trPr>
        <w:tc>
          <w:tcPr>
            <w:tcW w:w="3330" w:type="dxa"/>
            <w:tcBorders>
              <w:top w:val="nil"/>
              <w:left w:val="single" w:sz="4" w:space="0" w:color="auto"/>
              <w:bottom w:val="single" w:sz="4" w:space="0" w:color="auto"/>
              <w:right w:val="single" w:sz="4" w:space="0" w:color="auto"/>
            </w:tcBorders>
            <w:shd w:val="clear" w:color="000000" w:fill="E2EFDA"/>
            <w:noWrap/>
            <w:vAlign w:val="bottom"/>
            <w:hideMark/>
          </w:tcPr>
          <w:p w14:paraId="76A6A3DF" w14:textId="77777777" w:rsidR="00F873DD" w:rsidRPr="008A3538" w:rsidRDefault="00F873DD" w:rsidP="008A3538">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Subtotaal</w:t>
            </w:r>
          </w:p>
        </w:tc>
        <w:tc>
          <w:tcPr>
            <w:tcW w:w="617" w:type="dxa"/>
            <w:tcBorders>
              <w:top w:val="nil"/>
              <w:left w:val="nil"/>
              <w:bottom w:val="single" w:sz="4" w:space="0" w:color="auto"/>
              <w:right w:val="single" w:sz="4" w:space="0" w:color="auto"/>
            </w:tcBorders>
            <w:shd w:val="clear" w:color="000000" w:fill="E2EFDA"/>
            <w:noWrap/>
            <w:vAlign w:val="bottom"/>
            <w:hideMark/>
          </w:tcPr>
          <w:p w14:paraId="71E9983F" w14:textId="77777777" w:rsidR="00F873DD" w:rsidRPr="008A3538" w:rsidRDefault="00F873DD" w:rsidP="008A3538">
            <w:pPr>
              <w:autoSpaceDN/>
              <w:spacing w:line="240" w:lineRule="auto"/>
              <w:jc w:val="right"/>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96</w:t>
            </w:r>
          </w:p>
        </w:tc>
        <w:tc>
          <w:tcPr>
            <w:tcW w:w="617" w:type="dxa"/>
            <w:tcBorders>
              <w:top w:val="nil"/>
              <w:left w:val="nil"/>
              <w:bottom w:val="single" w:sz="4" w:space="0" w:color="auto"/>
              <w:right w:val="single" w:sz="4" w:space="0" w:color="auto"/>
            </w:tcBorders>
            <w:shd w:val="clear" w:color="000000" w:fill="E2EFDA"/>
            <w:noWrap/>
            <w:vAlign w:val="bottom"/>
            <w:hideMark/>
          </w:tcPr>
          <w:p w14:paraId="29829B01" w14:textId="77777777" w:rsidR="00F873DD" w:rsidRPr="008A3538" w:rsidRDefault="00F873DD" w:rsidP="008A3538">
            <w:pPr>
              <w:autoSpaceDN/>
              <w:spacing w:line="240" w:lineRule="auto"/>
              <w:jc w:val="right"/>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138</w:t>
            </w:r>
          </w:p>
        </w:tc>
        <w:tc>
          <w:tcPr>
            <w:tcW w:w="617" w:type="dxa"/>
            <w:tcBorders>
              <w:top w:val="nil"/>
              <w:left w:val="nil"/>
              <w:bottom w:val="single" w:sz="4" w:space="0" w:color="auto"/>
              <w:right w:val="single" w:sz="4" w:space="0" w:color="auto"/>
            </w:tcBorders>
            <w:shd w:val="clear" w:color="000000" w:fill="E2EFDA"/>
            <w:noWrap/>
            <w:vAlign w:val="bottom"/>
            <w:hideMark/>
          </w:tcPr>
          <w:p w14:paraId="1281416B" w14:textId="77777777" w:rsidR="00F873DD" w:rsidRPr="008A3538" w:rsidRDefault="00F873DD" w:rsidP="008A3538">
            <w:pPr>
              <w:autoSpaceDN/>
              <w:spacing w:line="240" w:lineRule="auto"/>
              <w:jc w:val="right"/>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139</w:t>
            </w:r>
          </w:p>
        </w:tc>
        <w:tc>
          <w:tcPr>
            <w:tcW w:w="617" w:type="dxa"/>
            <w:tcBorders>
              <w:top w:val="nil"/>
              <w:left w:val="nil"/>
              <w:bottom w:val="single" w:sz="4" w:space="0" w:color="auto"/>
              <w:right w:val="single" w:sz="4" w:space="0" w:color="auto"/>
            </w:tcBorders>
            <w:shd w:val="clear" w:color="000000" w:fill="E2EFDA"/>
            <w:noWrap/>
            <w:vAlign w:val="bottom"/>
            <w:hideMark/>
          </w:tcPr>
          <w:p w14:paraId="03B7675D" w14:textId="77777777" w:rsidR="00F873DD" w:rsidRPr="008A3538" w:rsidRDefault="00F873DD" w:rsidP="008A3538">
            <w:pPr>
              <w:autoSpaceDN/>
              <w:spacing w:line="240" w:lineRule="auto"/>
              <w:jc w:val="right"/>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114</w:t>
            </w:r>
          </w:p>
        </w:tc>
        <w:tc>
          <w:tcPr>
            <w:tcW w:w="146" w:type="dxa"/>
            <w:tcBorders>
              <w:top w:val="nil"/>
              <w:left w:val="nil"/>
              <w:bottom w:val="single" w:sz="4" w:space="0" w:color="auto"/>
              <w:right w:val="nil"/>
            </w:tcBorders>
            <w:shd w:val="clear" w:color="000000" w:fill="E2EFDA"/>
          </w:tcPr>
          <w:p w14:paraId="2E0504D2" w14:textId="77777777" w:rsidR="00F873DD" w:rsidRPr="008A3538" w:rsidRDefault="00F873DD" w:rsidP="008A3538">
            <w:pPr>
              <w:autoSpaceDN/>
              <w:spacing w:line="240" w:lineRule="auto"/>
              <w:jc w:val="right"/>
              <w:textAlignment w:val="auto"/>
              <w:rPr>
                <w:rFonts w:ascii="Calibri Light" w:eastAsia="Times New Roman" w:hAnsi="Calibri Light" w:cs="Calibri Light"/>
                <w:i/>
                <w:iCs/>
                <w:sz w:val="22"/>
                <w:szCs w:val="22"/>
              </w:rPr>
            </w:pPr>
          </w:p>
        </w:tc>
        <w:tc>
          <w:tcPr>
            <w:tcW w:w="146" w:type="dxa"/>
            <w:tcBorders>
              <w:top w:val="nil"/>
              <w:left w:val="nil"/>
              <w:bottom w:val="single" w:sz="4" w:space="0" w:color="auto"/>
              <w:right w:val="nil"/>
            </w:tcBorders>
            <w:shd w:val="clear" w:color="000000" w:fill="E2EFDA"/>
          </w:tcPr>
          <w:p w14:paraId="1196C24F" w14:textId="77777777" w:rsidR="00F873DD" w:rsidRPr="008A3538" w:rsidRDefault="00F873DD" w:rsidP="008A3538">
            <w:pPr>
              <w:autoSpaceDN/>
              <w:spacing w:line="240" w:lineRule="auto"/>
              <w:jc w:val="right"/>
              <w:textAlignment w:val="auto"/>
              <w:rPr>
                <w:rFonts w:ascii="Calibri Light" w:eastAsia="Times New Roman" w:hAnsi="Calibri Light" w:cs="Calibri Light"/>
                <w:i/>
                <w:iCs/>
                <w:sz w:val="22"/>
                <w:szCs w:val="22"/>
              </w:rPr>
            </w:pPr>
          </w:p>
        </w:tc>
        <w:tc>
          <w:tcPr>
            <w:tcW w:w="431" w:type="dxa"/>
            <w:tcBorders>
              <w:top w:val="nil"/>
              <w:left w:val="nil"/>
              <w:bottom w:val="single" w:sz="4" w:space="0" w:color="auto"/>
              <w:right w:val="single" w:sz="4" w:space="0" w:color="auto"/>
            </w:tcBorders>
            <w:shd w:val="clear" w:color="000000" w:fill="E2EFDA"/>
            <w:noWrap/>
            <w:vAlign w:val="bottom"/>
            <w:hideMark/>
          </w:tcPr>
          <w:p w14:paraId="5FA91841" w14:textId="77777777" w:rsidR="00F873DD" w:rsidRPr="008A3538" w:rsidRDefault="00F873DD" w:rsidP="008A3538">
            <w:pPr>
              <w:autoSpaceDN/>
              <w:spacing w:line="240" w:lineRule="auto"/>
              <w:jc w:val="right"/>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114</w:t>
            </w:r>
          </w:p>
        </w:tc>
        <w:tc>
          <w:tcPr>
            <w:tcW w:w="850" w:type="dxa"/>
            <w:tcBorders>
              <w:top w:val="nil"/>
              <w:left w:val="nil"/>
              <w:bottom w:val="single" w:sz="4" w:space="0" w:color="auto"/>
              <w:right w:val="single" w:sz="4" w:space="0" w:color="auto"/>
            </w:tcBorders>
            <w:shd w:val="clear" w:color="000000" w:fill="E2EFDA"/>
            <w:noWrap/>
            <w:vAlign w:val="bottom"/>
            <w:hideMark/>
          </w:tcPr>
          <w:p w14:paraId="7514615B" w14:textId="77777777" w:rsidR="00F873DD" w:rsidRPr="008A3538" w:rsidRDefault="00F873DD" w:rsidP="008A3538">
            <w:pPr>
              <w:autoSpaceDN/>
              <w:spacing w:line="240" w:lineRule="auto"/>
              <w:jc w:val="right"/>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114</w:t>
            </w:r>
          </w:p>
        </w:tc>
        <w:tc>
          <w:tcPr>
            <w:tcW w:w="851" w:type="dxa"/>
            <w:tcBorders>
              <w:top w:val="nil"/>
              <w:left w:val="nil"/>
              <w:bottom w:val="single" w:sz="4" w:space="0" w:color="auto"/>
              <w:right w:val="single" w:sz="4" w:space="0" w:color="auto"/>
            </w:tcBorders>
            <w:shd w:val="clear" w:color="000000" w:fill="E2EFDA"/>
            <w:noWrap/>
            <w:vAlign w:val="bottom"/>
            <w:hideMark/>
          </w:tcPr>
          <w:p w14:paraId="29E7E7E8" w14:textId="77777777" w:rsidR="00F873DD" w:rsidRPr="008A3538" w:rsidRDefault="00F873DD" w:rsidP="008A3538">
            <w:pPr>
              <w:autoSpaceDN/>
              <w:spacing w:line="240" w:lineRule="auto"/>
              <w:jc w:val="right"/>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714</w:t>
            </w:r>
          </w:p>
        </w:tc>
      </w:tr>
      <w:tr w:rsidR="00F873DD" w:rsidRPr="008A3538" w14:paraId="56C03A96" w14:textId="77777777" w:rsidTr="00716D9D">
        <w:trPr>
          <w:gridAfter w:val="1"/>
          <w:wAfter w:w="860" w:type="dxa"/>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7E832932" w14:textId="77777777" w:rsidR="00F873DD" w:rsidRPr="008A3538" w:rsidRDefault="00F873DD" w:rsidP="008A3538">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 xml:space="preserve">Adviescollege </w:t>
            </w:r>
            <w:proofErr w:type="spellStart"/>
            <w:r w:rsidRPr="008A3538">
              <w:rPr>
                <w:rFonts w:ascii="Calibri Light" w:eastAsia="Times New Roman" w:hAnsi="Calibri Light" w:cs="Calibri Light"/>
                <w:sz w:val="22"/>
                <w:szCs w:val="22"/>
              </w:rPr>
              <w:t>Woo</w:t>
            </w:r>
            <w:proofErr w:type="spellEnd"/>
            <w:r w:rsidRPr="008A3538">
              <w:rPr>
                <w:rFonts w:ascii="Calibri Light" w:eastAsia="Times New Roman" w:hAnsi="Calibri Light" w:cs="Calibri Light"/>
                <w:sz w:val="22"/>
                <w:szCs w:val="22"/>
              </w:rPr>
              <w:t xml:space="preserve"> (geoormerkt)</w:t>
            </w:r>
          </w:p>
        </w:tc>
        <w:tc>
          <w:tcPr>
            <w:tcW w:w="617" w:type="dxa"/>
            <w:tcBorders>
              <w:top w:val="nil"/>
              <w:left w:val="nil"/>
              <w:bottom w:val="single" w:sz="4" w:space="0" w:color="auto"/>
              <w:right w:val="single" w:sz="4" w:space="0" w:color="auto"/>
            </w:tcBorders>
            <w:shd w:val="clear" w:color="auto" w:fill="auto"/>
            <w:noWrap/>
            <w:vAlign w:val="bottom"/>
            <w:hideMark/>
          </w:tcPr>
          <w:p w14:paraId="08D0537C"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3</w:t>
            </w:r>
          </w:p>
        </w:tc>
        <w:tc>
          <w:tcPr>
            <w:tcW w:w="617" w:type="dxa"/>
            <w:tcBorders>
              <w:top w:val="nil"/>
              <w:left w:val="nil"/>
              <w:bottom w:val="single" w:sz="4" w:space="0" w:color="auto"/>
              <w:right w:val="single" w:sz="4" w:space="0" w:color="auto"/>
            </w:tcBorders>
            <w:shd w:val="clear" w:color="auto" w:fill="auto"/>
            <w:noWrap/>
            <w:vAlign w:val="bottom"/>
            <w:hideMark/>
          </w:tcPr>
          <w:p w14:paraId="3B1F7A50"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3</w:t>
            </w:r>
          </w:p>
        </w:tc>
        <w:tc>
          <w:tcPr>
            <w:tcW w:w="617" w:type="dxa"/>
            <w:tcBorders>
              <w:top w:val="nil"/>
              <w:left w:val="nil"/>
              <w:bottom w:val="single" w:sz="4" w:space="0" w:color="auto"/>
              <w:right w:val="single" w:sz="4" w:space="0" w:color="auto"/>
            </w:tcBorders>
            <w:shd w:val="clear" w:color="auto" w:fill="auto"/>
            <w:noWrap/>
            <w:vAlign w:val="bottom"/>
            <w:hideMark/>
          </w:tcPr>
          <w:p w14:paraId="41A426BB"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3</w:t>
            </w:r>
          </w:p>
        </w:tc>
        <w:tc>
          <w:tcPr>
            <w:tcW w:w="617" w:type="dxa"/>
            <w:tcBorders>
              <w:top w:val="nil"/>
              <w:left w:val="nil"/>
              <w:bottom w:val="single" w:sz="4" w:space="0" w:color="auto"/>
              <w:right w:val="single" w:sz="4" w:space="0" w:color="auto"/>
            </w:tcBorders>
            <w:shd w:val="clear" w:color="auto" w:fill="auto"/>
            <w:noWrap/>
            <w:vAlign w:val="bottom"/>
            <w:hideMark/>
          </w:tcPr>
          <w:p w14:paraId="516E9B57"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3</w:t>
            </w:r>
          </w:p>
        </w:tc>
        <w:tc>
          <w:tcPr>
            <w:tcW w:w="146" w:type="dxa"/>
            <w:tcBorders>
              <w:top w:val="nil"/>
              <w:left w:val="nil"/>
              <w:bottom w:val="single" w:sz="4" w:space="0" w:color="auto"/>
              <w:right w:val="nil"/>
            </w:tcBorders>
          </w:tcPr>
          <w:p w14:paraId="1B4A366B"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146" w:type="dxa"/>
            <w:tcBorders>
              <w:top w:val="nil"/>
              <w:left w:val="nil"/>
              <w:bottom w:val="single" w:sz="4" w:space="0" w:color="auto"/>
              <w:right w:val="nil"/>
            </w:tcBorders>
          </w:tcPr>
          <w:p w14:paraId="09166A3C"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431" w:type="dxa"/>
            <w:tcBorders>
              <w:top w:val="nil"/>
              <w:left w:val="nil"/>
              <w:bottom w:val="single" w:sz="4" w:space="0" w:color="auto"/>
              <w:right w:val="single" w:sz="4" w:space="0" w:color="auto"/>
            </w:tcBorders>
            <w:shd w:val="clear" w:color="auto" w:fill="auto"/>
            <w:noWrap/>
            <w:vAlign w:val="bottom"/>
            <w:hideMark/>
          </w:tcPr>
          <w:p w14:paraId="3BF63E96"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3</w:t>
            </w:r>
          </w:p>
        </w:tc>
        <w:tc>
          <w:tcPr>
            <w:tcW w:w="850" w:type="dxa"/>
            <w:tcBorders>
              <w:top w:val="nil"/>
              <w:left w:val="nil"/>
              <w:bottom w:val="single" w:sz="4" w:space="0" w:color="auto"/>
              <w:right w:val="single" w:sz="4" w:space="0" w:color="auto"/>
            </w:tcBorders>
            <w:shd w:val="clear" w:color="auto" w:fill="auto"/>
            <w:noWrap/>
            <w:vAlign w:val="bottom"/>
            <w:hideMark/>
          </w:tcPr>
          <w:p w14:paraId="70CBE292"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3</w:t>
            </w:r>
          </w:p>
        </w:tc>
        <w:tc>
          <w:tcPr>
            <w:tcW w:w="851" w:type="dxa"/>
            <w:tcBorders>
              <w:top w:val="nil"/>
              <w:left w:val="nil"/>
              <w:bottom w:val="single" w:sz="4" w:space="0" w:color="auto"/>
              <w:right w:val="single" w:sz="4" w:space="0" w:color="auto"/>
            </w:tcBorders>
            <w:shd w:val="clear" w:color="auto" w:fill="auto"/>
            <w:noWrap/>
            <w:vAlign w:val="bottom"/>
            <w:hideMark/>
          </w:tcPr>
          <w:p w14:paraId="58BFF253" w14:textId="77777777" w:rsidR="00F873DD" w:rsidRPr="008A3538" w:rsidRDefault="00F873DD" w:rsidP="008A3538">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F873DD" w:rsidRPr="008A3538" w14:paraId="2C3E809D" w14:textId="77777777" w:rsidTr="00716D9D">
        <w:trPr>
          <w:gridAfter w:val="1"/>
          <w:wAfter w:w="860" w:type="dxa"/>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7945D91" w14:textId="77777777" w:rsidR="00F873DD" w:rsidRPr="008A3538" w:rsidRDefault="00F873DD" w:rsidP="008A3538">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Overige verbeteringen IHH/openbaarheid (geoormerkt)</w:t>
            </w:r>
          </w:p>
        </w:tc>
        <w:tc>
          <w:tcPr>
            <w:tcW w:w="617" w:type="dxa"/>
            <w:tcBorders>
              <w:top w:val="nil"/>
              <w:left w:val="nil"/>
              <w:bottom w:val="single" w:sz="4" w:space="0" w:color="auto"/>
              <w:right w:val="single" w:sz="4" w:space="0" w:color="auto"/>
            </w:tcBorders>
            <w:shd w:val="clear" w:color="auto" w:fill="auto"/>
            <w:noWrap/>
            <w:vAlign w:val="bottom"/>
            <w:hideMark/>
          </w:tcPr>
          <w:p w14:paraId="01D64BB0"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5</w:t>
            </w:r>
          </w:p>
        </w:tc>
        <w:tc>
          <w:tcPr>
            <w:tcW w:w="617" w:type="dxa"/>
            <w:tcBorders>
              <w:top w:val="nil"/>
              <w:left w:val="nil"/>
              <w:bottom w:val="single" w:sz="4" w:space="0" w:color="auto"/>
              <w:right w:val="single" w:sz="4" w:space="0" w:color="auto"/>
            </w:tcBorders>
            <w:shd w:val="clear" w:color="auto" w:fill="auto"/>
            <w:noWrap/>
            <w:vAlign w:val="bottom"/>
            <w:hideMark/>
          </w:tcPr>
          <w:p w14:paraId="15224168"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auto" w:fill="auto"/>
            <w:noWrap/>
            <w:vAlign w:val="bottom"/>
            <w:hideMark/>
          </w:tcPr>
          <w:p w14:paraId="5E33FB8A"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auto" w:fill="auto"/>
            <w:noWrap/>
            <w:vAlign w:val="bottom"/>
            <w:hideMark/>
          </w:tcPr>
          <w:p w14:paraId="0B45B5ED"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10</w:t>
            </w:r>
          </w:p>
        </w:tc>
        <w:tc>
          <w:tcPr>
            <w:tcW w:w="146" w:type="dxa"/>
            <w:tcBorders>
              <w:top w:val="nil"/>
              <w:left w:val="nil"/>
              <w:bottom w:val="single" w:sz="4" w:space="0" w:color="auto"/>
              <w:right w:val="nil"/>
            </w:tcBorders>
          </w:tcPr>
          <w:p w14:paraId="0C6101F1"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146" w:type="dxa"/>
            <w:tcBorders>
              <w:top w:val="nil"/>
              <w:left w:val="nil"/>
              <w:bottom w:val="single" w:sz="4" w:space="0" w:color="auto"/>
              <w:right w:val="nil"/>
            </w:tcBorders>
          </w:tcPr>
          <w:p w14:paraId="009440EA"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431" w:type="dxa"/>
            <w:tcBorders>
              <w:top w:val="nil"/>
              <w:left w:val="nil"/>
              <w:bottom w:val="single" w:sz="4" w:space="0" w:color="auto"/>
              <w:right w:val="single" w:sz="4" w:space="0" w:color="auto"/>
            </w:tcBorders>
            <w:shd w:val="clear" w:color="auto" w:fill="auto"/>
            <w:noWrap/>
            <w:vAlign w:val="bottom"/>
            <w:hideMark/>
          </w:tcPr>
          <w:p w14:paraId="528AF3A0"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10</w:t>
            </w:r>
          </w:p>
        </w:tc>
        <w:tc>
          <w:tcPr>
            <w:tcW w:w="850" w:type="dxa"/>
            <w:tcBorders>
              <w:top w:val="nil"/>
              <w:left w:val="nil"/>
              <w:bottom w:val="single" w:sz="4" w:space="0" w:color="auto"/>
              <w:right w:val="single" w:sz="4" w:space="0" w:color="auto"/>
            </w:tcBorders>
            <w:shd w:val="clear" w:color="auto" w:fill="auto"/>
            <w:noWrap/>
            <w:vAlign w:val="bottom"/>
            <w:hideMark/>
          </w:tcPr>
          <w:p w14:paraId="37B117D2"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10</w:t>
            </w:r>
          </w:p>
        </w:tc>
        <w:tc>
          <w:tcPr>
            <w:tcW w:w="851" w:type="dxa"/>
            <w:tcBorders>
              <w:top w:val="nil"/>
              <w:left w:val="nil"/>
              <w:bottom w:val="single" w:sz="4" w:space="0" w:color="auto"/>
              <w:right w:val="single" w:sz="4" w:space="0" w:color="auto"/>
            </w:tcBorders>
            <w:shd w:val="clear" w:color="auto" w:fill="auto"/>
            <w:noWrap/>
            <w:vAlign w:val="bottom"/>
            <w:hideMark/>
          </w:tcPr>
          <w:p w14:paraId="1FEB984D" w14:textId="77777777" w:rsidR="00F873DD" w:rsidRPr="008A3538" w:rsidRDefault="00F873DD" w:rsidP="008A3538">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F873DD" w:rsidRPr="008A3538" w14:paraId="21EDC8D3" w14:textId="77777777" w:rsidTr="00716D9D">
        <w:trPr>
          <w:gridAfter w:val="1"/>
          <w:wAfter w:w="860" w:type="dxa"/>
          <w:trHeight w:val="240"/>
        </w:trPr>
        <w:tc>
          <w:tcPr>
            <w:tcW w:w="3330" w:type="dxa"/>
            <w:tcBorders>
              <w:top w:val="nil"/>
              <w:left w:val="single" w:sz="4" w:space="0" w:color="auto"/>
              <w:bottom w:val="single" w:sz="4" w:space="0" w:color="auto"/>
              <w:right w:val="single" w:sz="4" w:space="0" w:color="auto"/>
            </w:tcBorders>
            <w:shd w:val="clear" w:color="000000" w:fill="DDEBF7"/>
            <w:noWrap/>
            <w:vAlign w:val="bottom"/>
            <w:hideMark/>
          </w:tcPr>
          <w:p w14:paraId="74D8DB2D" w14:textId="77777777" w:rsidR="00F873DD" w:rsidRPr="008A3538" w:rsidRDefault="00F873DD" w:rsidP="008A3538">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Totaal</w:t>
            </w:r>
          </w:p>
        </w:tc>
        <w:tc>
          <w:tcPr>
            <w:tcW w:w="617" w:type="dxa"/>
            <w:tcBorders>
              <w:top w:val="nil"/>
              <w:left w:val="nil"/>
              <w:bottom w:val="single" w:sz="4" w:space="0" w:color="auto"/>
              <w:right w:val="single" w:sz="4" w:space="0" w:color="auto"/>
            </w:tcBorders>
            <w:shd w:val="clear" w:color="000000" w:fill="DDEBF7"/>
            <w:noWrap/>
            <w:vAlign w:val="bottom"/>
            <w:hideMark/>
          </w:tcPr>
          <w:p w14:paraId="3E5D4CE0"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104</w:t>
            </w:r>
          </w:p>
        </w:tc>
        <w:tc>
          <w:tcPr>
            <w:tcW w:w="617" w:type="dxa"/>
            <w:tcBorders>
              <w:top w:val="nil"/>
              <w:left w:val="nil"/>
              <w:bottom w:val="single" w:sz="4" w:space="0" w:color="auto"/>
              <w:right w:val="single" w:sz="4" w:space="0" w:color="auto"/>
            </w:tcBorders>
            <w:shd w:val="clear" w:color="000000" w:fill="DDEBF7"/>
            <w:noWrap/>
            <w:vAlign w:val="bottom"/>
            <w:hideMark/>
          </w:tcPr>
          <w:p w14:paraId="1C5B0D36"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151</w:t>
            </w:r>
          </w:p>
        </w:tc>
        <w:tc>
          <w:tcPr>
            <w:tcW w:w="617" w:type="dxa"/>
            <w:tcBorders>
              <w:top w:val="nil"/>
              <w:left w:val="nil"/>
              <w:bottom w:val="single" w:sz="4" w:space="0" w:color="auto"/>
              <w:right w:val="single" w:sz="4" w:space="0" w:color="auto"/>
            </w:tcBorders>
            <w:shd w:val="clear" w:color="000000" w:fill="DDEBF7"/>
            <w:noWrap/>
            <w:vAlign w:val="bottom"/>
            <w:hideMark/>
          </w:tcPr>
          <w:p w14:paraId="6C16904E"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152</w:t>
            </w:r>
          </w:p>
        </w:tc>
        <w:tc>
          <w:tcPr>
            <w:tcW w:w="617" w:type="dxa"/>
            <w:tcBorders>
              <w:top w:val="nil"/>
              <w:left w:val="nil"/>
              <w:bottom w:val="single" w:sz="4" w:space="0" w:color="auto"/>
              <w:right w:val="single" w:sz="4" w:space="0" w:color="auto"/>
            </w:tcBorders>
            <w:shd w:val="clear" w:color="000000" w:fill="DDEBF7"/>
            <w:noWrap/>
            <w:vAlign w:val="bottom"/>
            <w:hideMark/>
          </w:tcPr>
          <w:p w14:paraId="38AAE950"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127</w:t>
            </w:r>
          </w:p>
        </w:tc>
        <w:tc>
          <w:tcPr>
            <w:tcW w:w="146" w:type="dxa"/>
            <w:tcBorders>
              <w:top w:val="nil"/>
              <w:left w:val="nil"/>
              <w:bottom w:val="single" w:sz="4" w:space="0" w:color="auto"/>
              <w:right w:val="nil"/>
            </w:tcBorders>
            <w:shd w:val="clear" w:color="000000" w:fill="DDEBF7"/>
          </w:tcPr>
          <w:p w14:paraId="0FC567F9"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146" w:type="dxa"/>
            <w:tcBorders>
              <w:top w:val="nil"/>
              <w:left w:val="nil"/>
              <w:bottom w:val="single" w:sz="4" w:space="0" w:color="auto"/>
              <w:right w:val="nil"/>
            </w:tcBorders>
            <w:shd w:val="clear" w:color="000000" w:fill="DDEBF7"/>
          </w:tcPr>
          <w:p w14:paraId="233280FE"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p>
        </w:tc>
        <w:tc>
          <w:tcPr>
            <w:tcW w:w="431" w:type="dxa"/>
            <w:tcBorders>
              <w:top w:val="nil"/>
              <w:left w:val="nil"/>
              <w:bottom w:val="single" w:sz="4" w:space="0" w:color="auto"/>
              <w:right w:val="single" w:sz="4" w:space="0" w:color="auto"/>
            </w:tcBorders>
            <w:shd w:val="clear" w:color="000000" w:fill="DDEBF7"/>
            <w:noWrap/>
            <w:vAlign w:val="bottom"/>
            <w:hideMark/>
          </w:tcPr>
          <w:p w14:paraId="638B5954"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127</w:t>
            </w:r>
          </w:p>
        </w:tc>
        <w:tc>
          <w:tcPr>
            <w:tcW w:w="850" w:type="dxa"/>
            <w:tcBorders>
              <w:top w:val="nil"/>
              <w:left w:val="nil"/>
              <w:bottom w:val="single" w:sz="4" w:space="0" w:color="auto"/>
              <w:right w:val="single" w:sz="4" w:space="0" w:color="auto"/>
            </w:tcBorders>
            <w:shd w:val="clear" w:color="000000" w:fill="DDEBF7"/>
            <w:noWrap/>
            <w:vAlign w:val="bottom"/>
            <w:hideMark/>
          </w:tcPr>
          <w:p w14:paraId="73EEC92C"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127</w:t>
            </w:r>
          </w:p>
        </w:tc>
        <w:tc>
          <w:tcPr>
            <w:tcW w:w="851" w:type="dxa"/>
            <w:tcBorders>
              <w:top w:val="nil"/>
              <w:left w:val="nil"/>
              <w:bottom w:val="single" w:sz="4" w:space="0" w:color="auto"/>
              <w:right w:val="single" w:sz="4" w:space="0" w:color="auto"/>
            </w:tcBorders>
            <w:shd w:val="clear" w:color="000000" w:fill="DDEBF7"/>
            <w:noWrap/>
            <w:vAlign w:val="bottom"/>
            <w:hideMark/>
          </w:tcPr>
          <w:p w14:paraId="2AA89F23" w14:textId="77777777" w:rsidR="00F873DD" w:rsidRPr="008A3538" w:rsidRDefault="00F873DD" w:rsidP="008A3538">
            <w:pPr>
              <w:autoSpaceDN/>
              <w:spacing w:line="240" w:lineRule="auto"/>
              <w:jc w:val="right"/>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787</w:t>
            </w:r>
          </w:p>
        </w:tc>
      </w:tr>
    </w:tbl>
    <w:p w14:paraId="3A3E0897" w14:textId="77777777" w:rsidR="00DD74C9" w:rsidRDefault="00DD74C9" w:rsidP="007F2A09"/>
    <w:p w14:paraId="78DC5CB2" w14:textId="77777777" w:rsidR="006D3289" w:rsidRDefault="00DD74C9" w:rsidP="007F2A09">
      <w:r w:rsidRPr="00DD74C9">
        <w:t xml:space="preserve">In de </w:t>
      </w:r>
      <w:r w:rsidR="00F873DD">
        <w:t>hier volgende paragraf</w:t>
      </w:r>
      <w:r>
        <w:t>en zal nader worden in gegaan op de verwachte bestedingen in 2021, het proces t.b.v. financiering van plannen en de daarbij behorende bestedingscriteria.</w:t>
      </w:r>
    </w:p>
    <w:p w14:paraId="38DD22AF" w14:textId="77777777" w:rsidR="00DD74C9" w:rsidRPr="00DD74C9" w:rsidRDefault="00DD74C9" w:rsidP="007F2A09"/>
    <w:p w14:paraId="16885D88" w14:textId="77777777" w:rsidR="00CB1DC9" w:rsidRPr="00A40C3A" w:rsidRDefault="006139E0" w:rsidP="00A40C3A">
      <w:pPr>
        <w:ind w:firstLine="708"/>
        <w:rPr>
          <w:b/>
        </w:rPr>
      </w:pPr>
      <w:r>
        <w:rPr>
          <w:b/>
        </w:rPr>
        <w:t>3.</w:t>
      </w:r>
      <w:r w:rsidR="00A40C3A">
        <w:rPr>
          <w:b/>
        </w:rPr>
        <w:t xml:space="preserve"> </w:t>
      </w:r>
      <w:r>
        <w:rPr>
          <w:b/>
        </w:rPr>
        <w:t>G</w:t>
      </w:r>
      <w:r w:rsidR="00CB1DC9" w:rsidRPr="00A40C3A">
        <w:rPr>
          <w:b/>
        </w:rPr>
        <w:t>eoormerkte middelen</w:t>
      </w:r>
      <w:r w:rsidR="00B7022E" w:rsidRPr="00A40C3A">
        <w:rPr>
          <w:b/>
        </w:rPr>
        <w:t xml:space="preserve"> 2021</w:t>
      </w:r>
    </w:p>
    <w:p w14:paraId="0878E89A" w14:textId="77777777" w:rsidR="00C206AC" w:rsidRDefault="00C206AC" w:rsidP="007F2A09">
      <w:r>
        <w:t>Van de A1-middelen is een deel reeds geoormerkt</w:t>
      </w:r>
      <w:r w:rsidR="00A340FD">
        <w:t xml:space="preserve"> voor </w:t>
      </w:r>
      <w:proofErr w:type="spellStart"/>
      <w:r w:rsidR="00A340FD">
        <w:t>Rijksbrede</w:t>
      </w:r>
      <w:proofErr w:type="spellEnd"/>
      <w:r w:rsidR="00A340FD">
        <w:t xml:space="preserve"> maatregelen</w:t>
      </w:r>
      <w:r>
        <w:t>. Hierna volgt</w:t>
      </w:r>
      <w:r w:rsidR="004E0218">
        <w:t xml:space="preserve"> een toelichting per onderdeel.</w:t>
      </w:r>
      <w:r w:rsidR="00A340FD">
        <w:t xml:space="preserve"> Het overzicht is niet uitputtend maar betreft de nu voorziene besteding van geoormerkte middelen voor 2021. </w:t>
      </w:r>
    </w:p>
    <w:p w14:paraId="21800648" w14:textId="77777777" w:rsidR="00E72DB1" w:rsidRDefault="00E72DB1" w:rsidP="007F2A09"/>
    <w:p w14:paraId="477DC3AF" w14:textId="77777777" w:rsidR="00C206AC" w:rsidRPr="00762091" w:rsidRDefault="00C206AC" w:rsidP="00A51CD4">
      <w:pPr>
        <w:pStyle w:val="Lijstalinea"/>
        <w:numPr>
          <w:ilvl w:val="0"/>
          <w:numId w:val="34"/>
        </w:numPr>
        <w:rPr>
          <w:u w:val="single"/>
        </w:rPr>
      </w:pPr>
      <w:r w:rsidRPr="00762091">
        <w:rPr>
          <w:u w:val="single"/>
        </w:rPr>
        <w:t>Rijksprogramma Duurzaam Digitale Informatiehuishouding (RDDI)</w:t>
      </w:r>
    </w:p>
    <w:p w14:paraId="3EC8EE03" w14:textId="77777777" w:rsidR="00C206AC" w:rsidRDefault="0019149D" w:rsidP="0019149D">
      <w:r w:rsidRPr="0019149D">
        <w:t>De geoormerkte middelen</w:t>
      </w:r>
      <w:r>
        <w:t xml:space="preserve"> voor RDDI hebben in de eerste plaats betrekking op </w:t>
      </w:r>
      <w:r w:rsidRPr="0019149D">
        <w:t xml:space="preserve">  </w:t>
      </w:r>
      <w:r>
        <w:t>d</w:t>
      </w:r>
      <w:r w:rsidR="00C206AC">
        <w:t>e reguliere programmakosten van</w:t>
      </w:r>
      <w:r>
        <w:t xml:space="preserve"> RDDI</w:t>
      </w:r>
      <w:r w:rsidR="00C206AC">
        <w:t xml:space="preserve">. </w:t>
      </w:r>
      <w:r w:rsidR="004A016E" w:rsidRPr="004A016E">
        <w:t>RDDI wordt voor de regulier</w:t>
      </w:r>
      <w:r w:rsidR="004A016E">
        <w:t>e</w:t>
      </w:r>
      <w:r w:rsidR="004A016E" w:rsidRPr="004A016E">
        <w:t xml:space="preserve"> taken (uitvoering MJP met begroting van totaal </w:t>
      </w:r>
      <w:r w:rsidR="004A016E">
        <w:t>€4.</w:t>
      </w:r>
      <w:r w:rsidR="004A016E" w:rsidRPr="004A016E">
        <w:t xml:space="preserve">9 mln.) voor </w:t>
      </w:r>
      <w:r w:rsidR="004A016E">
        <w:t>€3.</w:t>
      </w:r>
      <w:r w:rsidR="004A016E" w:rsidRPr="004A016E">
        <w:t>5 mln. gefinancierd uit de geoormerkte middelen A1. Aanvullende financiering (</w:t>
      </w:r>
      <w:r w:rsidR="004A016E">
        <w:t>€1.</w:t>
      </w:r>
      <w:r w:rsidR="004A016E" w:rsidRPr="004A016E">
        <w:t>4 mln</w:t>
      </w:r>
      <w:r w:rsidR="0072176D">
        <w:t>.</w:t>
      </w:r>
      <w:r w:rsidR="004A016E" w:rsidRPr="004A016E">
        <w:t xml:space="preserve"> jaarlijks t/m 2023) voor uitvoering MJP ontvangt RDDI van OCW en de overige departementen.  </w:t>
      </w:r>
    </w:p>
    <w:p w14:paraId="3D5FAFF9" w14:textId="77777777" w:rsidR="0019149D" w:rsidRDefault="008D3386" w:rsidP="0019149D">
      <w:r>
        <w:t xml:space="preserve">Naast de reguliere programmakosten is ook </w:t>
      </w:r>
      <w:r w:rsidR="006D3289">
        <w:t xml:space="preserve">additioneel </w:t>
      </w:r>
      <w:r>
        <w:t xml:space="preserve">geld geoormerkt voor de versterking van RDDI t.b.v. </w:t>
      </w:r>
      <w:r w:rsidR="001B7338">
        <w:t xml:space="preserve">ondersteuning bij de </w:t>
      </w:r>
      <w:r>
        <w:t xml:space="preserve">uitvoering van </w:t>
      </w:r>
      <w:r w:rsidR="006D3289">
        <w:t xml:space="preserve">de nieuwe actielijnen in </w:t>
      </w:r>
      <w:r>
        <w:t>het generieke a</w:t>
      </w:r>
      <w:r w:rsidR="001D20DD">
        <w:t>ctieplan informatiehuishouding.</w:t>
      </w:r>
      <w:r w:rsidR="004A016E">
        <w:t xml:space="preserve"> </w:t>
      </w:r>
      <w:r w:rsidR="004A016E" w:rsidRPr="004A016E">
        <w:t>Het gaat hier om een additioneel bedrag van 1,5 mln.</w:t>
      </w:r>
    </w:p>
    <w:tbl>
      <w:tblPr>
        <w:tblW w:w="7672" w:type="dxa"/>
        <w:tblInd w:w="70" w:type="dxa"/>
        <w:tblCellMar>
          <w:left w:w="70" w:type="dxa"/>
          <w:right w:w="70" w:type="dxa"/>
        </w:tblCellMar>
        <w:tblLook w:val="04A0" w:firstRow="1" w:lastRow="0" w:firstColumn="1" w:lastColumn="0" w:noHBand="0" w:noVBand="1"/>
      </w:tblPr>
      <w:tblGrid>
        <w:gridCol w:w="3330"/>
        <w:gridCol w:w="617"/>
        <w:gridCol w:w="617"/>
        <w:gridCol w:w="617"/>
        <w:gridCol w:w="617"/>
        <w:gridCol w:w="617"/>
        <w:gridCol w:w="617"/>
        <w:gridCol w:w="640"/>
      </w:tblGrid>
      <w:tr w:rsidR="001B7338" w:rsidRPr="008A3538" w14:paraId="56AC1141" w14:textId="77777777" w:rsidTr="001B7338">
        <w:trPr>
          <w:trHeight w:val="240"/>
        </w:trPr>
        <w:tc>
          <w:tcPr>
            <w:tcW w:w="3947" w:type="dxa"/>
            <w:gridSpan w:val="2"/>
            <w:tcBorders>
              <w:top w:val="nil"/>
              <w:left w:val="nil"/>
              <w:bottom w:val="nil"/>
              <w:right w:val="nil"/>
            </w:tcBorders>
            <w:shd w:val="clear" w:color="auto" w:fill="auto"/>
            <w:noWrap/>
            <w:vAlign w:val="bottom"/>
            <w:hideMark/>
          </w:tcPr>
          <w:p w14:paraId="1AEEB6DB" w14:textId="77777777" w:rsidR="001B7338" w:rsidRPr="008A3538" w:rsidRDefault="001B7338" w:rsidP="00F74433">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52E9A967" w14:textId="77777777" w:rsidR="001B7338" w:rsidRPr="008A3538" w:rsidRDefault="001B7338" w:rsidP="00F74433">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6914B6F2"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5ABB5CA5"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60DE1402"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42B28A69"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c>
          <w:tcPr>
            <w:tcW w:w="640" w:type="dxa"/>
            <w:tcBorders>
              <w:top w:val="nil"/>
              <w:left w:val="nil"/>
              <w:bottom w:val="nil"/>
              <w:right w:val="nil"/>
            </w:tcBorders>
            <w:shd w:val="clear" w:color="auto" w:fill="auto"/>
            <w:noWrap/>
            <w:vAlign w:val="bottom"/>
            <w:hideMark/>
          </w:tcPr>
          <w:p w14:paraId="5674B762"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r>
      <w:tr w:rsidR="001B7338" w:rsidRPr="008A3538" w14:paraId="452F0D05" w14:textId="77777777" w:rsidTr="001B7338">
        <w:trPr>
          <w:trHeight w:val="476"/>
        </w:trPr>
        <w:tc>
          <w:tcPr>
            <w:tcW w:w="33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21EBE9C" w14:textId="77777777" w:rsidR="001B7338" w:rsidRPr="008A3538" w:rsidRDefault="001B7338" w:rsidP="00F74433">
            <w:pPr>
              <w:autoSpaceDN/>
              <w:spacing w:line="240" w:lineRule="auto"/>
              <w:textAlignment w:val="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RDDI</w:t>
            </w:r>
            <w:r w:rsidRPr="008A3538">
              <w:rPr>
                <w:rFonts w:ascii="Calibri Light" w:eastAsia="Times New Roman" w:hAnsi="Calibri Light" w:cs="Calibri Light"/>
                <w:b/>
                <w:bCs/>
                <w:color w:val="auto"/>
                <w:sz w:val="20"/>
                <w:szCs w:val="20"/>
              </w:rPr>
              <w:t xml:space="preserve"> (bedragen in € x 1 mln.)</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108331E7"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141E2C7C"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649D420C"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7FFBBE9E"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2024</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77CCA1B1"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2025</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0063EB88"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000000" w:fill="9BC2E6"/>
            <w:vAlign w:val="center"/>
            <w:hideMark/>
          </w:tcPr>
          <w:p w14:paraId="144F66FF"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Totaal</w:t>
            </w:r>
          </w:p>
        </w:tc>
      </w:tr>
      <w:tr w:rsidR="001B7338" w:rsidRPr="008A3538" w14:paraId="1E357DD5" w14:textId="77777777" w:rsidTr="001B7338">
        <w:trPr>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39134C7E" w14:textId="77777777" w:rsidR="001B7338" w:rsidRPr="008A3538" w:rsidRDefault="001B7338" w:rsidP="00F74433">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Programmakosten regulier</w:t>
            </w:r>
          </w:p>
        </w:tc>
        <w:tc>
          <w:tcPr>
            <w:tcW w:w="617" w:type="dxa"/>
            <w:tcBorders>
              <w:top w:val="nil"/>
              <w:left w:val="nil"/>
              <w:bottom w:val="single" w:sz="4" w:space="0" w:color="auto"/>
              <w:right w:val="single" w:sz="4" w:space="0" w:color="auto"/>
            </w:tcBorders>
            <w:shd w:val="clear" w:color="auto" w:fill="auto"/>
            <w:noWrap/>
            <w:vAlign w:val="bottom"/>
            <w:hideMark/>
          </w:tcPr>
          <w:p w14:paraId="346A5B5C"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auto" w:fill="auto"/>
            <w:noWrap/>
            <w:vAlign w:val="bottom"/>
            <w:hideMark/>
          </w:tcPr>
          <w:p w14:paraId="6F3FAD3D"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auto" w:fill="auto"/>
            <w:noWrap/>
            <w:vAlign w:val="bottom"/>
            <w:hideMark/>
          </w:tcPr>
          <w:p w14:paraId="78E5EEAC"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auto" w:fill="auto"/>
            <w:noWrap/>
            <w:vAlign w:val="bottom"/>
            <w:hideMark/>
          </w:tcPr>
          <w:p w14:paraId="280243E2"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auto" w:fill="auto"/>
            <w:noWrap/>
            <w:vAlign w:val="bottom"/>
            <w:hideMark/>
          </w:tcPr>
          <w:p w14:paraId="79F2F144"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auto" w:fill="auto"/>
            <w:noWrap/>
            <w:vAlign w:val="bottom"/>
            <w:hideMark/>
          </w:tcPr>
          <w:p w14:paraId="781EB86F"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40" w:type="dxa"/>
            <w:tcBorders>
              <w:top w:val="nil"/>
              <w:left w:val="nil"/>
              <w:bottom w:val="single" w:sz="4" w:space="0" w:color="auto"/>
              <w:right w:val="single" w:sz="4" w:space="0" w:color="auto"/>
            </w:tcBorders>
            <w:shd w:val="clear" w:color="auto" w:fill="auto"/>
            <w:noWrap/>
            <w:vAlign w:val="bottom"/>
            <w:hideMark/>
          </w:tcPr>
          <w:p w14:paraId="4D96688B" w14:textId="77777777" w:rsidR="001B7338" w:rsidRPr="008A3538" w:rsidRDefault="001B7338" w:rsidP="00F74433">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1B7338" w:rsidRPr="008A3538" w14:paraId="2A8A0C36" w14:textId="77777777" w:rsidTr="001B7338">
        <w:trPr>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052905FC" w14:textId="77777777" w:rsidR="001B7338" w:rsidRPr="008A3538" w:rsidRDefault="001B7338" w:rsidP="00F74433">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Programmakosten versnelling</w:t>
            </w:r>
          </w:p>
        </w:tc>
        <w:tc>
          <w:tcPr>
            <w:tcW w:w="617" w:type="dxa"/>
            <w:tcBorders>
              <w:top w:val="nil"/>
              <w:left w:val="nil"/>
              <w:bottom w:val="single" w:sz="4" w:space="0" w:color="auto"/>
              <w:right w:val="single" w:sz="4" w:space="0" w:color="auto"/>
            </w:tcBorders>
            <w:shd w:val="clear" w:color="auto" w:fill="auto"/>
            <w:noWrap/>
            <w:vAlign w:val="bottom"/>
            <w:hideMark/>
          </w:tcPr>
          <w:p w14:paraId="11D75177"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1.5</w:t>
            </w:r>
          </w:p>
        </w:tc>
        <w:tc>
          <w:tcPr>
            <w:tcW w:w="617" w:type="dxa"/>
            <w:tcBorders>
              <w:top w:val="nil"/>
              <w:left w:val="nil"/>
              <w:bottom w:val="single" w:sz="4" w:space="0" w:color="auto"/>
              <w:right w:val="single" w:sz="4" w:space="0" w:color="auto"/>
            </w:tcBorders>
            <w:shd w:val="clear" w:color="auto" w:fill="auto"/>
            <w:noWrap/>
            <w:vAlign w:val="bottom"/>
            <w:hideMark/>
          </w:tcPr>
          <w:p w14:paraId="0C5D0F8F"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1.5</w:t>
            </w:r>
          </w:p>
        </w:tc>
        <w:tc>
          <w:tcPr>
            <w:tcW w:w="617" w:type="dxa"/>
            <w:tcBorders>
              <w:top w:val="nil"/>
              <w:left w:val="nil"/>
              <w:bottom w:val="single" w:sz="4" w:space="0" w:color="auto"/>
              <w:right w:val="single" w:sz="4" w:space="0" w:color="auto"/>
            </w:tcBorders>
            <w:shd w:val="clear" w:color="auto" w:fill="auto"/>
            <w:noWrap/>
            <w:vAlign w:val="bottom"/>
            <w:hideMark/>
          </w:tcPr>
          <w:p w14:paraId="692AA5CE"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1.5</w:t>
            </w:r>
          </w:p>
        </w:tc>
        <w:tc>
          <w:tcPr>
            <w:tcW w:w="617" w:type="dxa"/>
            <w:tcBorders>
              <w:top w:val="nil"/>
              <w:left w:val="nil"/>
              <w:bottom w:val="single" w:sz="4" w:space="0" w:color="auto"/>
              <w:right w:val="single" w:sz="4" w:space="0" w:color="auto"/>
            </w:tcBorders>
            <w:shd w:val="clear" w:color="auto" w:fill="auto"/>
            <w:noWrap/>
            <w:vAlign w:val="bottom"/>
            <w:hideMark/>
          </w:tcPr>
          <w:p w14:paraId="2427CD45"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w:t>
            </w:r>
            <w:r w:rsidRPr="008A3538">
              <w:rPr>
                <w:rFonts w:ascii="Calibri Light" w:eastAsia="Times New Roman" w:hAnsi="Calibri Light" w:cs="Calibri Light"/>
                <w:sz w:val="22"/>
                <w:szCs w:val="22"/>
              </w:rPr>
              <w:t>5</w:t>
            </w:r>
          </w:p>
        </w:tc>
        <w:tc>
          <w:tcPr>
            <w:tcW w:w="617" w:type="dxa"/>
            <w:tcBorders>
              <w:top w:val="nil"/>
              <w:left w:val="nil"/>
              <w:bottom w:val="single" w:sz="4" w:space="0" w:color="auto"/>
              <w:right w:val="single" w:sz="4" w:space="0" w:color="auto"/>
            </w:tcBorders>
            <w:shd w:val="clear" w:color="auto" w:fill="auto"/>
            <w:noWrap/>
            <w:vAlign w:val="bottom"/>
            <w:hideMark/>
          </w:tcPr>
          <w:p w14:paraId="25FA8617"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w:t>
            </w:r>
            <w:r w:rsidRPr="008A3538">
              <w:rPr>
                <w:rFonts w:ascii="Calibri Light" w:eastAsia="Times New Roman" w:hAnsi="Calibri Light" w:cs="Calibri Light"/>
                <w:sz w:val="22"/>
                <w:szCs w:val="22"/>
              </w:rPr>
              <w:t>5</w:t>
            </w:r>
          </w:p>
        </w:tc>
        <w:tc>
          <w:tcPr>
            <w:tcW w:w="617" w:type="dxa"/>
            <w:tcBorders>
              <w:top w:val="nil"/>
              <w:left w:val="nil"/>
              <w:bottom w:val="single" w:sz="4" w:space="0" w:color="auto"/>
              <w:right w:val="single" w:sz="4" w:space="0" w:color="auto"/>
            </w:tcBorders>
            <w:shd w:val="clear" w:color="auto" w:fill="auto"/>
            <w:noWrap/>
            <w:vAlign w:val="bottom"/>
            <w:hideMark/>
          </w:tcPr>
          <w:p w14:paraId="16F6F8C6"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w:t>
            </w:r>
            <w:r w:rsidRPr="008A3538">
              <w:rPr>
                <w:rFonts w:ascii="Calibri Light" w:eastAsia="Times New Roman" w:hAnsi="Calibri Light" w:cs="Calibri Light"/>
                <w:sz w:val="22"/>
                <w:szCs w:val="22"/>
              </w:rPr>
              <w:t>5</w:t>
            </w:r>
          </w:p>
        </w:tc>
        <w:tc>
          <w:tcPr>
            <w:tcW w:w="640" w:type="dxa"/>
            <w:tcBorders>
              <w:top w:val="nil"/>
              <w:left w:val="nil"/>
              <w:bottom w:val="single" w:sz="4" w:space="0" w:color="auto"/>
              <w:right w:val="single" w:sz="4" w:space="0" w:color="auto"/>
            </w:tcBorders>
            <w:shd w:val="clear" w:color="auto" w:fill="auto"/>
            <w:noWrap/>
            <w:vAlign w:val="bottom"/>
            <w:hideMark/>
          </w:tcPr>
          <w:p w14:paraId="1BB2844C" w14:textId="77777777" w:rsidR="001B7338" w:rsidRPr="008A3538" w:rsidRDefault="001B7338" w:rsidP="00F74433">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1B7338" w:rsidRPr="008A3538" w14:paraId="3470A96C" w14:textId="77777777" w:rsidTr="001B7338">
        <w:trPr>
          <w:trHeight w:val="240"/>
        </w:trPr>
        <w:tc>
          <w:tcPr>
            <w:tcW w:w="3330" w:type="dxa"/>
            <w:tcBorders>
              <w:top w:val="nil"/>
              <w:left w:val="single" w:sz="4" w:space="0" w:color="auto"/>
              <w:bottom w:val="single" w:sz="4" w:space="0" w:color="auto"/>
              <w:right w:val="single" w:sz="4" w:space="0" w:color="auto"/>
            </w:tcBorders>
            <w:shd w:val="clear" w:color="000000" w:fill="DDEBF7"/>
            <w:noWrap/>
            <w:vAlign w:val="bottom"/>
            <w:hideMark/>
          </w:tcPr>
          <w:p w14:paraId="0D033ABA" w14:textId="77777777" w:rsidR="001B7338" w:rsidRPr="008A3538" w:rsidRDefault="001B7338" w:rsidP="00F74433">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Totaal</w:t>
            </w:r>
          </w:p>
        </w:tc>
        <w:tc>
          <w:tcPr>
            <w:tcW w:w="617" w:type="dxa"/>
            <w:tcBorders>
              <w:top w:val="nil"/>
              <w:left w:val="nil"/>
              <w:bottom w:val="single" w:sz="4" w:space="0" w:color="auto"/>
              <w:right w:val="single" w:sz="4" w:space="0" w:color="auto"/>
            </w:tcBorders>
            <w:shd w:val="clear" w:color="000000" w:fill="DDEBF7"/>
            <w:noWrap/>
            <w:vAlign w:val="bottom"/>
            <w:hideMark/>
          </w:tcPr>
          <w:p w14:paraId="4FF0B382"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5</w:t>
            </w:r>
          </w:p>
        </w:tc>
        <w:tc>
          <w:tcPr>
            <w:tcW w:w="617" w:type="dxa"/>
            <w:tcBorders>
              <w:top w:val="nil"/>
              <w:left w:val="nil"/>
              <w:bottom w:val="single" w:sz="4" w:space="0" w:color="auto"/>
              <w:right w:val="single" w:sz="4" w:space="0" w:color="auto"/>
            </w:tcBorders>
            <w:shd w:val="clear" w:color="000000" w:fill="DDEBF7"/>
            <w:noWrap/>
            <w:vAlign w:val="bottom"/>
            <w:hideMark/>
          </w:tcPr>
          <w:p w14:paraId="60235612"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5</w:t>
            </w:r>
          </w:p>
        </w:tc>
        <w:tc>
          <w:tcPr>
            <w:tcW w:w="617" w:type="dxa"/>
            <w:tcBorders>
              <w:top w:val="nil"/>
              <w:left w:val="nil"/>
              <w:bottom w:val="single" w:sz="4" w:space="0" w:color="auto"/>
              <w:right w:val="single" w:sz="4" w:space="0" w:color="auto"/>
            </w:tcBorders>
            <w:shd w:val="clear" w:color="000000" w:fill="DDEBF7"/>
            <w:noWrap/>
            <w:vAlign w:val="bottom"/>
            <w:hideMark/>
          </w:tcPr>
          <w:p w14:paraId="46A9D432"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5</w:t>
            </w:r>
          </w:p>
        </w:tc>
        <w:tc>
          <w:tcPr>
            <w:tcW w:w="617" w:type="dxa"/>
            <w:tcBorders>
              <w:top w:val="nil"/>
              <w:left w:val="nil"/>
              <w:bottom w:val="single" w:sz="4" w:space="0" w:color="auto"/>
              <w:right w:val="single" w:sz="4" w:space="0" w:color="auto"/>
            </w:tcBorders>
            <w:shd w:val="clear" w:color="000000" w:fill="DDEBF7"/>
            <w:noWrap/>
            <w:vAlign w:val="bottom"/>
            <w:hideMark/>
          </w:tcPr>
          <w:p w14:paraId="7C3E4BF7"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5</w:t>
            </w:r>
          </w:p>
        </w:tc>
        <w:tc>
          <w:tcPr>
            <w:tcW w:w="617" w:type="dxa"/>
            <w:tcBorders>
              <w:top w:val="nil"/>
              <w:left w:val="nil"/>
              <w:bottom w:val="single" w:sz="4" w:space="0" w:color="auto"/>
              <w:right w:val="single" w:sz="4" w:space="0" w:color="auto"/>
            </w:tcBorders>
            <w:shd w:val="clear" w:color="000000" w:fill="DDEBF7"/>
            <w:noWrap/>
            <w:vAlign w:val="bottom"/>
            <w:hideMark/>
          </w:tcPr>
          <w:p w14:paraId="7CF53FB5"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5</w:t>
            </w:r>
          </w:p>
        </w:tc>
        <w:tc>
          <w:tcPr>
            <w:tcW w:w="617" w:type="dxa"/>
            <w:tcBorders>
              <w:top w:val="nil"/>
              <w:left w:val="nil"/>
              <w:bottom w:val="single" w:sz="4" w:space="0" w:color="auto"/>
              <w:right w:val="single" w:sz="4" w:space="0" w:color="auto"/>
            </w:tcBorders>
            <w:shd w:val="clear" w:color="000000" w:fill="DDEBF7"/>
            <w:noWrap/>
            <w:vAlign w:val="bottom"/>
            <w:hideMark/>
          </w:tcPr>
          <w:p w14:paraId="679A020E" w14:textId="77777777" w:rsidR="001B7338" w:rsidRPr="008A3538" w:rsidRDefault="001B7338"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5</w:t>
            </w:r>
          </w:p>
        </w:tc>
        <w:tc>
          <w:tcPr>
            <w:tcW w:w="640" w:type="dxa"/>
            <w:tcBorders>
              <w:top w:val="nil"/>
              <w:left w:val="nil"/>
              <w:bottom w:val="single" w:sz="4" w:space="0" w:color="auto"/>
              <w:right w:val="single" w:sz="4" w:space="0" w:color="auto"/>
            </w:tcBorders>
            <w:shd w:val="clear" w:color="000000" w:fill="DDEBF7"/>
            <w:noWrap/>
            <w:vAlign w:val="bottom"/>
            <w:hideMark/>
          </w:tcPr>
          <w:p w14:paraId="1A4DC44E" w14:textId="77777777" w:rsidR="001B7338" w:rsidRPr="008A3538" w:rsidRDefault="004A016E"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r>
    </w:tbl>
    <w:p w14:paraId="612059D7" w14:textId="77777777" w:rsidR="008A3538" w:rsidRDefault="008A3538" w:rsidP="007F2A09"/>
    <w:p w14:paraId="3123837E" w14:textId="77777777" w:rsidR="00070A56" w:rsidRPr="00762091" w:rsidRDefault="00070A56" w:rsidP="00A51CD4">
      <w:pPr>
        <w:pStyle w:val="Lijstalinea"/>
        <w:numPr>
          <w:ilvl w:val="0"/>
          <w:numId w:val="34"/>
        </w:numPr>
        <w:rPr>
          <w:u w:val="single"/>
        </w:rPr>
      </w:pPr>
      <w:r w:rsidRPr="00762091">
        <w:rPr>
          <w:u w:val="single"/>
        </w:rPr>
        <w:t>Regeringscommissaris Informatiehuishouding</w:t>
      </w:r>
    </w:p>
    <w:p w14:paraId="3A785250" w14:textId="77777777" w:rsidR="00A340FD" w:rsidRDefault="00DD74C9" w:rsidP="00DD74C9">
      <w:r>
        <w:t xml:space="preserve">De regeringscommissaris informatiehuishouding zal minimaal gedurende de looptijd van het generieke actieplan informatiehuishouding de regie voeren op dit plan. Voor de ondersteuning van de regeringscommissaris is een stafbureau nodig met voldoende capaciteit om zowel inhoudelijk als financieel het overzicht te bewaren, te sturen en periodiek te kunnen verantwoorden aan SGO, MR en parlement. </w:t>
      </w:r>
      <w:r w:rsidR="00A40C3A">
        <w:t>De exacte taakinvulling</w:t>
      </w:r>
      <w:r>
        <w:t xml:space="preserve">, mandaat en structuur van deze organisatie in oprichting zijn ten tijde van schrijven nog niet bekend. </w:t>
      </w:r>
    </w:p>
    <w:p w14:paraId="34FAA33A" w14:textId="77777777" w:rsidR="006D3289" w:rsidRDefault="00DD74C9" w:rsidP="00DD74C9">
      <w:r w:rsidRPr="00DD74C9">
        <w:lastRenderedPageBreak/>
        <w:t>Vooralsnog wordt een team op tijdelijke basis samengesteld voor ondersteuning op die</w:t>
      </w:r>
      <w:r w:rsidR="00A40C3A">
        <w:t xml:space="preserve"> taken die op voorhand </w:t>
      </w:r>
      <w:r w:rsidRPr="00DD74C9">
        <w:t>aan de regeringscommiss</w:t>
      </w:r>
      <w:r>
        <w:t xml:space="preserve">aris kunnen worden toebedeeld. De </w:t>
      </w:r>
      <w:r w:rsidRPr="00DD74C9">
        <w:t xml:space="preserve">kwartiermaker </w:t>
      </w:r>
      <w:r>
        <w:t xml:space="preserve">regeringscommissaris </w:t>
      </w:r>
      <w:r w:rsidRPr="00DD74C9">
        <w:t>zal de meerjarig benodigde reeks later dit jaar concreter onderbouwen op basis van het voorstel voor de organisatie-inrichting regeringscommissaris (verwacht juli 2021).</w:t>
      </w:r>
    </w:p>
    <w:tbl>
      <w:tblPr>
        <w:tblW w:w="7995" w:type="dxa"/>
        <w:tblInd w:w="70" w:type="dxa"/>
        <w:tblCellMar>
          <w:left w:w="70" w:type="dxa"/>
          <w:right w:w="70" w:type="dxa"/>
        </w:tblCellMar>
        <w:tblLook w:val="04A0" w:firstRow="1" w:lastRow="0" w:firstColumn="1" w:lastColumn="0" w:noHBand="0" w:noVBand="1"/>
      </w:tblPr>
      <w:tblGrid>
        <w:gridCol w:w="3653"/>
        <w:gridCol w:w="617"/>
        <w:gridCol w:w="617"/>
        <w:gridCol w:w="617"/>
        <w:gridCol w:w="617"/>
        <w:gridCol w:w="617"/>
        <w:gridCol w:w="617"/>
        <w:gridCol w:w="640"/>
      </w:tblGrid>
      <w:tr w:rsidR="001B7338" w:rsidRPr="008A3538" w14:paraId="13FBB170" w14:textId="77777777" w:rsidTr="007D1E43">
        <w:trPr>
          <w:trHeight w:val="240"/>
        </w:trPr>
        <w:tc>
          <w:tcPr>
            <w:tcW w:w="4270" w:type="dxa"/>
            <w:gridSpan w:val="2"/>
            <w:tcBorders>
              <w:top w:val="nil"/>
              <w:left w:val="nil"/>
              <w:bottom w:val="nil"/>
              <w:right w:val="nil"/>
            </w:tcBorders>
            <w:shd w:val="clear" w:color="auto" w:fill="auto"/>
            <w:noWrap/>
            <w:vAlign w:val="bottom"/>
            <w:hideMark/>
          </w:tcPr>
          <w:p w14:paraId="0E54AB96" w14:textId="77777777" w:rsidR="001B7338" w:rsidRPr="008A3538" w:rsidRDefault="001B7338" w:rsidP="00F74433">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61473FDB" w14:textId="77777777" w:rsidR="001B7338" w:rsidRPr="008A3538" w:rsidRDefault="001B7338" w:rsidP="00F74433">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05698E67"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3D88B0BA"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3FF0A8F6"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0E8EB398"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c>
          <w:tcPr>
            <w:tcW w:w="640" w:type="dxa"/>
            <w:tcBorders>
              <w:top w:val="nil"/>
              <w:left w:val="nil"/>
              <w:bottom w:val="nil"/>
              <w:right w:val="nil"/>
            </w:tcBorders>
            <w:shd w:val="clear" w:color="auto" w:fill="auto"/>
            <w:noWrap/>
            <w:vAlign w:val="bottom"/>
            <w:hideMark/>
          </w:tcPr>
          <w:p w14:paraId="138C99F9" w14:textId="77777777" w:rsidR="001B7338" w:rsidRPr="008A3538" w:rsidRDefault="001B7338" w:rsidP="00F74433">
            <w:pPr>
              <w:autoSpaceDN/>
              <w:spacing w:line="240" w:lineRule="auto"/>
              <w:textAlignment w:val="auto"/>
              <w:rPr>
                <w:rFonts w:ascii="Times New Roman" w:eastAsia="Times New Roman" w:hAnsi="Times New Roman" w:cs="Times New Roman"/>
                <w:color w:val="auto"/>
                <w:sz w:val="20"/>
                <w:szCs w:val="20"/>
              </w:rPr>
            </w:pPr>
          </w:p>
        </w:tc>
      </w:tr>
      <w:tr w:rsidR="001B7338" w:rsidRPr="008A3538" w14:paraId="1D0D18D6" w14:textId="77777777" w:rsidTr="007D1E43">
        <w:trPr>
          <w:trHeight w:val="476"/>
        </w:trPr>
        <w:tc>
          <w:tcPr>
            <w:tcW w:w="3653"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39D2D035" w14:textId="77777777" w:rsidR="001B7338" w:rsidRPr="008A3538" w:rsidRDefault="001B7338" w:rsidP="00F74433">
            <w:pPr>
              <w:autoSpaceDN/>
              <w:spacing w:line="240" w:lineRule="auto"/>
              <w:textAlignment w:val="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 xml:space="preserve">Regeringscommissaris </w:t>
            </w:r>
            <w:r w:rsidRPr="008A3538">
              <w:rPr>
                <w:rFonts w:ascii="Calibri Light" w:eastAsia="Times New Roman" w:hAnsi="Calibri Light" w:cs="Calibri Light"/>
                <w:b/>
                <w:bCs/>
                <w:color w:val="auto"/>
                <w:sz w:val="20"/>
                <w:szCs w:val="20"/>
              </w:rPr>
              <w:t xml:space="preserve"> (bedragen in € x 1 mln.)</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678A55C5"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41096293"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20176C7C"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3DA984AC"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2024</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2B539A18"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2025</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414B5BDE"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000000" w:fill="9BC2E6"/>
            <w:vAlign w:val="center"/>
            <w:hideMark/>
          </w:tcPr>
          <w:p w14:paraId="031022A0" w14:textId="77777777" w:rsidR="001B7338" w:rsidRPr="008A3538" w:rsidRDefault="001B7338"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Totaal</w:t>
            </w:r>
          </w:p>
        </w:tc>
      </w:tr>
      <w:tr w:rsidR="001B7338" w:rsidRPr="008A3538" w14:paraId="29AEDFE3" w14:textId="77777777" w:rsidTr="007D1E43">
        <w:trPr>
          <w:trHeight w:val="240"/>
        </w:trPr>
        <w:tc>
          <w:tcPr>
            <w:tcW w:w="3653" w:type="dxa"/>
            <w:tcBorders>
              <w:top w:val="nil"/>
              <w:left w:val="single" w:sz="4" w:space="0" w:color="auto"/>
              <w:bottom w:val="single" w:sz="4" w:space="0" w:color="auto"/>
              <w:right w:val="single" w:sz="4" w:space="0" w:color="auto"/>
            </w:tcBorders>
            <w:shd w:val="clear" w:color="auto" w:fill="auto"/>
            <w:noWrap/>
            <w:vAlign w:val="bottom"/>
            <w:hideMark/>
          </w:tcPr>
          <w:p w14:paraId="1A7E92E1" w14:textId="77777777" w:rsidR="001B7338" w:rsidRPr="008A3538" w:rsidRDefault="001B7338" w:rsidP="00F74433">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Bu</w:t>
            </w:r>
            <w:r w:rsidR="007D1E43">
              <w:rPr>
                <w:rFonts w:ascii="Calibri Light" w:eastAsia="Times New Roman" w:hAnsi="Calibri Light" w:cs="Calibri Light"/>
                <w:sz w:val="22"/>
                <w:szCs w:val="22"/>
              </w:rPr>
              <w:t>reau regeringscommissaris (staf)</w:t>
            </w:r>
          </w:p>
        </w:tc>
        <w:tc>
          <w:tcPr>
            <w:tcW w:w="617" w:type="dxa"/>
            <w:tcBorders>
              <w:top w:val="nil"/>
              <w:left w:val="nil"/>
              <w:bottom w:val="single" w:sz="4" w:space="0" w:color="auto"/>
              <w:right w:val="single" w:sz="4" w:space="0" w:color="auto"/>
            </w:tcBorders>
            <w:shd w:val="clear" w:color="auto" w:fill="auto"/>
            <w:noWrap/>
            <w:vAlign w:val="bottom"/>
            <w:hideMark/>
          </w:tcPr>
          <w:p w14:paraId="04D570A6" w14:textId="77777777" w:rsidR="001B7338" w:rsidRPr="008A3538" w:rsidRDefault="00122432"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0.8</w:t>
            </w:r>
          </w:p>
        </w:tc>
        <w:tc>
          <w:tcPr>
            <w:tcW w:w="617" w:type="dxa"/>
            <w:tcBorders>
              <w:top w:val="nil"/>
              <w:left w:val="nil"/>
              <w:bottom w:val="single" w:sz="4" w:space="0" w:color="auto"/>
              <w:right w:val="single" w:sz="4" w:space="0" w:color="auto"/>
            </w:tcBorders>
            <w:shd w:val="clear" w:color="auto" w:fill="auto"/>
            <w:noWrap/>
            <w:vAlign w:val="bottom"/>
            <w:hideMark/>
          </w:tcPr>
          <w:p w14:paraId="0B4F388B"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auto" w:fill="auto"/>
            <w:noWrap/>
            <w:vAlign w:val="bottom"/>
            <w:hideMark/>
          </w:tcPr>
          <w:p w14:paraId="7938F4B9"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auto" w:fill="auto"/>
            <w:noWrap/>
            <w:vAlign w:val="bottom"/>
            <w:hideMark/>
          </w:tcPr>
          <w:p w14:paraId="1911614F"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auto" w:fill="auto"/>
            <w:noWrap/>
            <w:vAlign w:val="bottom"/>
            <w:hideMark/>
          </w:tcPr>
          <w:p w14:paraId="4ACED02B"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auto" w:fill="auto"/>
            <w:noWrap/>
            <w:vAlign w:val="bottom"/>
            <w:hideMark/>
          </w:tcPr>
          <w:p w14:paraId="7B14CB7F"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40" w:type="dxa"/>
            <w:tcBorders>
              <w:top w:val="nil"/>
              <w:left w:val="nil"/>
              <w:bottom w:val="single" w:sz="4" w:space="0" w:color="auto"/>
              <w:right w:val="single" w:sz="4" w:space="0" w:color="auto"/>
            </w:tcBorders>
            <w:shd w:val="clear" w:color="auto" w:fill="auto"/>
            <w:noWrap/>
            <w:vAlign w:val="bottom"/>
            <w:hideMark/>
          </w:tcPr>
          <w:p w14:paraId="67CFCB15" w14:textId="77777777" w:rsidR="001B7338" w:rsidRPr="00122432" w:rsidRDefault="001B7338" w:rsidP="00F74433">
            <w:pPr>
              <w:autoSpaceDN/>
              <w:spacing w:line="240" w:lineRule="auto"/>
              <w:textAlignment w:val="auto"/>
              <w:rPr>
                <w:rFonts w:ascii="Calibri Light" w:eastAsia="Times New Roman" w:hAnsi="Calibri Light" w:cs="Calibri Light"/>
                <w:iCs/>
                <w:sz w:val="22"/>
                <w:szCs w:val="22"/>
              </w:rPr>
            </w:pPr>
            <w:r w:rsidRPr="00122432">
              <w:rPr>
                <w:rFonts w:ascii="Calibri Light" w:eastAsia="Times New Roman" w:hAnsi="Calibri Light" w:cs="Calibri Light"/>
                <w:iCs/>
                <w:sz w:val="22"/>
                <w:szCs w:val="22"/>
              </w:rPr>
              <w:t> </w:t>
            </w:r>
            <w:r w:rsidR="00707136">
              <w:rPr>
                <w:rFonts w:ascii="Calibri Light" w:eastAsia="Times New Roman" w:hAnsi="Calibri Light" w:cs="Calibri Light"/>
                <w:iCs/>
                <w:sz w:val="22"/>
                <w:szCs w:val="22"/>
              </w:rPr>
              <w:t>PM</w:t>
            </w:r>
          </w:p>
        </w:tc>
      </w:tr>
      <w:tr w:rsidR="001B7338" w:rsidRPr="008A3538" w14:paraId="039ED162" w14:textId="77777777" w:rsidTr="007D1E43">
        <w:trPr>
          <w:trHeight w:val="240"/>
        </w:trPr>
        <w:tc>
          <w:tcPr>
            <w:tcW w:w="3653" w:type="dxa"/>
            <w:tcBorders>
              <w:top w:val="nil"/>
              <w:left w:val="single" w:sz="4" w:space="0" w:color="auto"/>
              <w:bottom w:val="single" w:sz="4" w:space="0" w:color="auto"/>
              <w:right w:val="single" w:sz="4" w:space="0" w:color="auto"/>
            </w:tcBorders>
            <w:shd w:val="clear" w:color="auto" w:fill="auto"/>
            <w:noWrap/>
            <w:vAlign w:val="bottom"/>
            <w:hideMark/>
          </w:tcPr>
          <w:p w14:paraId="34CFD996" w14:textId="77777777" w:rsidR="001B7338" w:rsidRPr="008A3538" w:rsidRDefault="00122432" w:rsidP="00F74433">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 xml:space="preserve">Programmakosten </w:t>
            </w:r>
          </w:p>
        </w:tc>
        <w:tc>
          <w:tcPr>
            <w:tcW w:w="617" w:type="dxa"/>
            <w:tcBorders>
              <w:top w:val="nil"/>
              <w:left w:val="nil"/>
              <w:bottom w:val="single" w:sz="4" w:space="0" w:color="auto"/>
              <w:right w:val="single" w:sz="4" w:space="0" w:color="auto"/>
            </w:tcBorders>
            <w:shd w:val="clear" w:color="auto" w:fill="auto"/>
            <w:noWrap/>
            <w:vAlign w:val="bottom"/>
            <w:hideMark/>
          </w:tcPr>
          <w:p w14:paraId="24DB2C55" w14:textId="77777777" w:rsidR="001B7338" w:rsidRPr="008A3538" w:rsidRDefault="005640DF"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0</w:t>
            </w:r>
            <w:r w:rsidR="00122432">
              <w:rPr>
                <w:rFonts w:ascii="Calibri Light" w:eastAsia="Times New Roman" w:hAnsi="Calibri Light" w:cs="Calibri Light"/>
                <w:sz w:val="22"/>
                <w:szCs w:val="22"/>
              </w:rPr>
              <w:t>.3</w:t>
            </w:r>
          </w:p>
        </w:tc>
        <w:tc>
          <w:tcPr>
            <w:tcW w:w="617" w:type="dxa"/>
            <w:tcBorders>
              <w:top w:val="nil"/>
              <w:left w:val="nil"/>
              <w:bottom w:val="single" w:sz="4" w:space="0" w:color="auto"/>
              <w:right w:val="single" w:sz="4" w:space="0" w:color="auto"/>
            </w:tcBorders>
            <w:shd w:val="clear" w:color="auto" w:fill="auto"/>
            <w:noWrap/>
            <w:vAlign w:val="bottom"/>
            <w:hideMark/>
          </w:tcPr>
          <w:p w14:paraId="07406E62" w14:textId="77777777" w:rsidR="001B7338" w:rsidRPr="008A3538" w:rsidRDefault="00707136" w:rsidP="00122432">
            <w:pPr>
              <w:autoSpaceDN/>
              <w:spacing w:line="240" w:lineRule="auto"/>
              <w:jc w:val="center"/>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 xml:space="preserve">   PM</w:t>
            </w:r>
          </w:p>
        </w:tc>
        <w:tc>
          <w:tcPr>
            <w:tcW w:w="617" w:type="dxa"/>
            <w:tcBorders>
              <w:top w:val="nil"/>
              <w:left w:val="nil"/>
              <w:bottom w:val="single" w:sz="4" w:space="0" w:color="auto"/>
              <w:right w:val="single" w:sz="4" w:space="0" w:color="auto"/>
            </w:tcBorders>
            <w:shd w:val="clear" w:color="auto" w:fill="auto"/>
            <w:noWrap/>
            <w:vAlign w:val="bottom"/>
            <w:hideMark/>
          </w:tcPr>
          <w:p w14:paraId="4DD74D3D" w14:textId="77777777" w:rsidR="001B7338" w:rsidRPr="008A3538" w:rsidRDefault="00707136" w:rsidP="00122432">
            <w:pPr>
              <w:autoSpaceDN/>
              <w:spacing w:line="240" w:lineRule="auto"/>
              <w:jc w:val="center"/>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 xml:space="preserve">   PM</w:t>
            </w:r>
          </w:p>
        </w:tc>
        <w:tc>
          <w:tcPr>
            <w:tcW w:w="617" w:type="dxa"/>
            <w:tcBorders>
              <w:top w:val="nil"/>
              <w:left w:val="nil"/>
              <w:bottom w:val="single" w:sz="4" w:space="0" w:color="auto"/>
              <w:right w:val="single" w:sz="4" w:space="0" w:color="auto"/>
            </w:tcBorders>
            <w:shd w:val="clear" w:color="auto" w:fill="auto"/>
            <w:noWrap/>
            <w:vAlign w:val="bottom"/>
            <w:hideMark/>
          </w:tcPr>
          <w:p w14:paraId="57BAFA5F"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auto" w:fill="auto"/>
            <w:noWrap/>
            <w:vAlign w:val="bottom"/>
            <w:hideMark/>
          </w:tcPr>
          <w:p w14:paraId="3B23E6DA"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auto" w:fill="auto"/>
            <w:noWrap/>
            <w:vAlign w:val="bottom"/>
            <w:hideMark/>
          </w:tcPr>
          <w:p w14:paraId="6B5C18F4"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40" w:type="dxa"/>
            <w:tcBorders>
              <w:top w:val="nil"/>
              <w:left w:val="nil"/>
              <w:bottom w:val="single" w:sz="4" w:space="0" w:color="auto"/>
              <w:right w:val="single" w:sz="4" w:space="0" w:color="auto"/>
            </w:tcBorders>
            <w:shd w:val="clear" w:color="auto" w:fill="auto"/>
            <w:noWrap/>
            <w:vAlign w:val="bottom"/>
            <w:hideMark/>
          </w:tcPr>
          <w:p w14:paraId="473627B9" w14:textId="77777777" w:rsidR="001B7338" w:rsidRPr="00122432" w:rsidRDefault="001B7338" w:rsidP="00F74433">
            <w:pPr>
              <w:autoSpaceDN/>
              <w:spacing w:line="240" w:lineRule="auto"/>
              <w:textAlignment w:val="auto"/>
              <w:rPr>
                <w:rFonts w:ascii="Calibri Light" w:eastAsia="Times New Roman" w:hAnsi="Calibri Light" w:cs="Calibri Light"/>
                <w:iCs/>
                <w:sz w:val="22"/>
                <w:szCs w:val="22"/>
              </w:rPr>
            </w:pPr>
            <w:r w:rsidRPr="00122432">
              <w:rPr>
                <w:rFonts w:ascii="Calibri Light" w:eastAsia="Times New Roman" w:hAnsi="Calibri Light" w:cs="Calibri Light"/>
                <w:iCs/>
                <w:sz w:val="22"/>
                <w:szCs w:val="22"/>
              </w:rPr>
              <w:t> </w:t>
            </w:r>
            <w:r w:rsidR="00707136">
              <w:rPr>
                <w:rFonts w:ascii="Calibri Light" w:eastAsia="Times New Roman" w:hAnsi="Calibri Light" w:cs="Calibri Light"/>
                <w:iCs/>
                <w:sz w:val="22"/>
                <w:szCs w:val="22"/>
              </w:rPr>
              <w:t>PM</w:t>
            </w:r>
          </w:p>
        </w:tc>
      </w:tr>
      <w:tr w:rsidR="001B7338" w:rsidRPr="008A3538" w14:paraId="3ED6C215" w14:textId="77777777" w:rsidTr="007D1E43">
        <w:trPr>
          <w:trHeight w:val="240"/>
        </w:trPr>
        <w:tc>
          <w:tcPr>
            <w:tcW w:w="3653" w:type="dxa"/>
            <w:tcBorders>
              <w:top w:val="nil"/>
              <w:left w:val="single" w:sz="4" w:space="0" w:color="auto"/>
              <w:bottom w:val="single" w:sz="4" w:space="0" w:color="auto"/>
              <w:right w:val="single" w:sz="4" w:space="0" w:color="auto"/>
            </w:tcBorders>
            <w:shd w:val="clear" w:color="000000" w:fill="DDEBF7"/>
            <w:noWrap/>
            <w:vAlign w:val="bottom"/>
            <w:hideMark/>
          </w:tcPr>
          <w:p w14:paraId="7ED342A9" w14:textId="77777777" w:rsidR="001B7338" w:rsidRPr="008A3538" w:rsidRDefault="001B7338" w:rsidP="00F74433">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Totaal</w:t>
            </w:r>
          </w:p>
        </w:tc>
        <w:tc>
          <w:tcPr>
            <w:tcW w:w="617" w:type="dxa"/>
            <w:tcBorders>
              <w:top w:val="nil"/>
              <w:left w:val="nil"/>
              <w:bottom w:val="single" w:sz="4" w:space="0" w:color="auto"/>
              <w:right w:val="single" w:sz="4" w:space="0" w:color="auto"/>
            </w:tcBorders>
            <w:shd w:val="clear" w:color="000000" w:fill="DDEBF7"/>
            <w:noWrap/>
            <w:vAlign w:val="bottom"/>
            <w:hideMark/>
          </w:tcPr>
          <w:p w14:paraId="09B15817" w14:textId="77777777" w:rsidR="001B7338" w:rsidRPr="008A3538" w:rsidRDefault="00122432"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1.1</w:t>
            </w:r>
          </w:p>
        </w:tc>
        <w:tc>
          <w:tcPr>
            <w:tcW w:w="617" w:type="dxa"/>
            <w:tcBorders>
              <w:top w:val="nil"/>
              <w:left w:val="nil"/>
              <w:bottom w:val="single" w:sz="4" w:space="0" w:color="auto"/>
              <w:right w:val="single" w:sz="4" w:space="0" w:color="auto"/>
            </w:tcBorders>
            <w:shd w:val="clear" w:color="000000" w:fill="DDEBF7"/>
            <w:noWrap/>
            <w:vAlign w:val="bottom"/>
            <w:hideMark/>
          </w:tcPr>
          <w:p w14:paraId="738D2638"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000000" w:fill="DDEBF7"/>
            <w:noWrap/>
            <w:vAlign w:val="bottom"/>
            <w:hideMark/>
          </w:tcPr>
          <w:p w14:paraId="09003792"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000000" w:fill="DDEBF7"/>
            <w:noWrap/>
            <w:vAlign w:val="bottom"/>
            <w:hideMark/>
          </w:tcPr>
          <w:p w14:paraId="68608E04" w14:textId="77777777" w:rsidR="001B7338" w:rsidRPr="008A3538" w:rsidRDefault="00707136" w:rsidP="00122432">
            <w:pPr>
              <w:autoSpaceDN/>
              <w:spacing w:line="240" w:lineRule="auto"/>
              <w:jc w:val="center"/>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 xml:space="preserve">   PM</w:t>
            </w:r>
          </w:p>
        </w:tc>
        <w:tc>
          <w:tcPr>
            <w:tcW w:w="617" w:type="dxa"/>
            <w:tcBorders>
              <w:top w:val="nil"/>
              <w:left w:val="nil"/>
              <w:bottom w:val="single" w:sz="4" w:space="0" w:color="auto"/>
              <w:right w:val="single" w:sz="4" w:space="0" w:color="auto"/>
            </w:tcBorders>
            <w:shd w:val="clear" w:color="000000" w:fill="DDEBF7"/>
            <w:noWrap/>
            <w:vAlign w:val="bottom"/>
            <w:hideMark/>
          </w:tcPr>
          <w:p w14:paraId="5B350F36"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000000" w:fill="DDEBF7"/>
            <w:noWrap/>
            <w:vAlign w:val="bottom"/>
            <w:hideMark/>
          </w:tcPr>
          <w:p w14:paraId="1D9569B4" w14:textId="77777777" w:rsidR="001B7338" w:rsidRPr="008A3538" w:rsidRDefault="0070713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40" w:type="dxa"/>
            <w:tcBorders>
              <w:top w:val="nil"/>
              <w:left w:val="nil"/>
              <w:bottom w:val="single" w:sz="4" w:space="0" w:color="auto"/>
              <w:right w:val="single" w:sz="4" w:space="0" w:color="auto"/>
            </w:tcBorders>
            <w:shd w:val="clear" w:color="000000" w:fill="DDEBF7"/>
            <w:noWrap/>
            <w:vAlign w:val="bottom"/>
            <w:hideMark/>
          </w:tcPr>
          <w:p w14:paraId="0804E520" w14:textId="77777777" w:rsidR="001B7338" w:rsidRPr="008A3538" w:rsidRDefault="00707136" w:rsidP="00707136">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r>
    </w:tbl>
    <w:p w14:paraId="4FE08814" w14:textId="77777777" w:rsidR="00DD74C9" w:rsidRDefault="00DD74C9" w:rsidP="007F2A09"/>
    <w:p w14:paraId="73D1490B" w14:textId="77777777" w:rsidR="001D20DD" w:rsidRDefault="001D20DD" w:rsidP="00A51CD4">
      <w:pPr>
        <w:pStyle w:val="Lijstalinea"/>
        <w:numPr>
          <w:ilvl w:val="0"/>
          <w:numId w:val="34"/>
        </w:numPr>
        <w:rPr>
          <w:u w:val="single"/>
        </w:rPr>
      </w:pPr>
      <w:r w:rsidRPr="00762091">
        <w:rPr>
          <w:u w:val="single"/>
        </w:rPr>
        <w:t>CIO Rijk</w:t>
      </w:r>
    </w:p>
    <w:p w14:paraId="3EEC2CC6" w14:textId="77777777" w:rsidR="00070A56" w:rsidRDefault="00414098" w:rsidP="007F2A09">
      <w:r w:rsidRPr="00414098">
        <w:t>De bezetting van de directie CIO Rijk zal minimaal gedurende de looptijd van het generieke actieplan informatiehuishouding worden versterkt. Er is behoefte aan een verrijking van het instrumentarium (waaronder kaders) voor verbetering van informatiehuishouding gedurende de gehele cyclus vanaf de ontwikkeling van beleid en wet– en regelgeving tot informatiebeheer. Ondersteunende voorzieningen worden bij voorkeur gemeenschappelijk ingekocht of beheerd. Denk daarbij aan een zoekfunctie (</w:t>
      </w:r>
      <w:proofErr w:type="spellStart"/>
      <w:r w:rsidR="00F873DD">
        <w:t>enterprise</w:t>
      </w:r>
      <w:proofErr w:type="spellEnd"/>
      <w:r w:rsidR="00F873DD">
        <w:t xml:space="preserve"> search), doorverwijs</w:t>
      </w:r>
      <w:r w:rsidRPr="00414098">
        <w:t>functie voor identificatiekenmerken (PID-</w:t>
      </w:r>
      <w:proofErr w:type="spellStart"/>
      <w:r w:rsidRPr="00414098">
        <w:t>resolver</w:t>
      </w:r>
      <w:proofErr w:type="spellEnd"/>
      <w:r w:rsidRPr="00414098">
        <w:t>) en een actoren- en activiteitenregister. Gezamenlijke inkoop stimuleert het gebruik van deze voorzieningen, bevordert een uniform informatiebeheer en is efficiënter</w:t>
      </w:r>
      <w:r w:rsidR="00F873DD">
        <w:t xml:space="preserve"> dan dit voor iedere organisatie apart te doen. I</w:t>
      </w:r>
      <w:r w:rsidRPr="00414098">
        <w:t>n</w:t>
      </w:r>
      <w:r w:rsidR="00716D9D">
        <w:t xml:space="preserve"> samenwerking met I-vakmanschap</w:t>
      </w:r>
      <w:r w:rsidRPr="00414098">
        <w:t xml:space="preserve"> en RDDI wordt in een opleidingsaanbod voorzie</w:t>
      </w:r>
      <w:r w:rsidR="00F873DD">
        <w:t xml:space="preserve">n in </w:t>
      </w:r>
      <w:r w:rsidR="00E973B9">
        <w:t>informatieprofessionals.</w:t>
      </w:r>
    </w:p>
    <w:tbl>
      <w:tblPr>
        <w:tblW w:w="7672" w:type="dxa"/>
        <w:tblInd w:w="70" w:type="dxa"/>
        <w:tblCellMar>
          <w:left w:w="70" w:type="dxa"/>
          <w:right w:w="70" w:type="dxa"/>
        </w:tblCellMar>
        <w:tblLook w:val="04A0" w:firstRow="1" w:lastRow="0" w:firstColumn="1" w:lastColumn="0" w:noHBand="0" w:noVBand="1"/>
      </w:tblPr>
      <w:tblGrid>
        <w:gridCol w:w="3330"/>
        <w:gridCol w:w="617"/>
        <w:gridCol w:w="617"/>
        <w:gridCol w:w="617"/>
        <w:gridCol w:w="617"/>
        <w:gridCol w:w="617"/>
        <w:gridCol w:w="617"/>
        <w:gridCol w:w="640"/>
      </w:tblGrid>
      <w:tr w:rsidR="00414098" w14:paraId="765ED140" w14:textId="77777777" w:rsidTr="00414098">
        <w:trPr>
          <w:trHeight w:val="240"/>
        </w:trPr>
        <w:tc>
          <w:tcPr>
            <w:tcW w:w="3947" w:type="dxa"/>
            <w:gridSpan w:val="2"/>
            <w:noWrap/>
            <w:vAlign w:val="bottom"/>
            <w:hideMark/>
          </w:tcPr>
          <w:p w14:paraId="057E727D" w14:textId="77777777" w:rsidR="00414098" w:rsidRDefault="00414098">
            <w:pPr>
              <w:spacing w:line="240" w:lineRule="auto"/>
              <w:rPr>
                <w:rFonts w:ascii="Times New Roman" w:hAnsi="Times New Roman"/>
                <w:color w:val="auto"/>
                <w:sz w:val="20"/>
                <w:szCs w:val="20"/>
              </w:rPr>
            </w:pPr>
          </w:p>
        </w:tc>
        <w:tc>
          <w:tcPr>
            <w:tcW w:w="617" w:type="dxa"/>
            <w:noWrap/>
            <w:vAlign w:val="bottom"/>
            <w:hideMark/>
          </w:tcPr>
          <w:p w14:paraId="5EFACE9F" w14:textId="77777777" w:rsidR="00414098" w:rsidRDefault="00414098">
            <w:pPr>
              <w:spacing w:line="240" w:lineRule="auto"/>
              <w:rPr>
                <w:rFonts w:ascii="Times New Roman" w:hAnsi="Times New Roman"/>
                <w:color w:val="auto"/>
                <w:sz w:val="20"/>
                <w:szCs w:val="20"/>
              </w:rPr>
            </w:pPr>
          </w:p>
        </w:tc>
        <w:tc>
          <w:tcPr>
            <w:tcW w:w="617" w:type="dxa"/>
            <w:noWrap/>
            <w:vAlign w:val="bottom"/>
            <w:hideMark/>
          </w:tcPr>
          <w:p w14:paraId="56D57FDA" w14:textId="77777777" w:rsidR="00414098" w:rsidRDefault="00414098">
            <w:pPr>
              <w:spacing w:line="240" w:lineRule="auto"/>
              <w:rPr>
                <w:rFonts w:ascii="Times New Roman" w:hAnsi="Times New Roman"/>
                <w:color w:val="auto"/>
                <w:sz w:val="20"/>
                <w:szCs w:val="20"/>
              </w:rPr>
            </w:pPr>
          </w:p>
        </w:tc>
        <w:tc>
          <w:tcPr>
            <w:tcW w:w="617" w:type="dxa"/>
            <w:noWrap/>
            <w:vAlign w:val="bottom"/>
            <w:hideMark/>
          </w:tcPr>
          <w:p w14:paraId="5796C315" w14:textId="77777777" w:rsidR="00414098" w:rsidRDefault="00414098">
            <w:pPr>
              <w:spacing w:line="240" w:lineRule="auto"/>
              <w:rPr>
                <w:rFonts w:ascii="Times New Roman" w:hAnsi="Times New Roman"/>
                <w:color w:val="auto"/>
                <w:sz w:val="20"/>
                <w:szCs w:val="20"/>
              </w:rPr>
            </w:pPr>
          </w:p>
        </w:tc>
        <w:tc>
          <w:tcPr>
            <w:tcW w:w="617" w:type="dxa"/>
            <w:noWrap/>
            <w:vAlign w:val="bottom"/>
            <w:hideMark/>
          </w:tcPr>
          <w:p w14:paraId="4DC6E441" w14:textId="77777777" w:rsidR="00414098" w:rsidRDefault="00414098">
            <w:pPr>
              <w:spacing w:line="240" w:lineRule="auto"/>
              <w:rPr>
                <w:rFonts w:ascii="Times New Roman" w:hAnsi="Times New Roman"/>
                <w:color w:val="auto"/>
                <w:sz w:val="20"/>
                <w:szCs w:val="20"/>
              </w:rPr>
            </w:pPr>
          </w:p>
        </w:tc>
        <w:tc>
          <w:tcPr>
            <w:tcW w:w="617" w:type="dxa"/>
            <w:noWrap/>
            <w:vAlign w:val="bottom"/>
            <w:hideMark/>
          </w:tcPr>
          <w:p w14:paraId="622F7378" w14:textId="77777777" w:rsidR="00414098" w:rsidRDefault="00414098">
            <w:pPr>
              <w:spacing w:line="240" w:lineRule="auto"/>
              <w:rPr>
                <w:rFonts w:ascii="Times New Roman" w:hAnsi="Times New Roman"/>
                <w:color w:val="auto"/>
                <w:sz w:val="20"/>
                <w:szCs w:val="20"/>
              </w:rPr>
            </w:pPr>
          </w:p>
        </w:tc>
        <w:tc>
          <w:tcPr>
            <w:tcW w:w="640" w:type="dxa"/>
            <w:noWrap/>
            <w:vAlign w:val="bottom"/>
            <w:hideMark/>
          </w:tcPr>
          <w:p w14:paraId="516DA4F9" w14:textId="77777777" w:rsidR="00414098" w:rsidRDefault="00414098">
            <w:pPr>
              <w:spacing w:line="240" w:lineRule="auto"/>
              <w:rPr>
                <w:rFonts w:ascii="Times New Roman" w:hAnsi="Times New Roman"/>
                <w:color w:val="auto"/>
                <w:sz w:val="20"/>
                <w:szCs w:val="20"/>
              </w:rPr>
            </w:pPr>
          </w:p>
        </w:tc>
      </w:tr>
      <w:tr w:rsidR="00414098" w14:paraId="48EB20FD" w14:textId="77777777" w:rsidTr="00414098">
        <w:trPr>
          <w:trHeight w:val="476"/>
        </w:trPr>
        <w:tc>
          <w:tcPr>
            <w:tcW w:w="3330"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2E8E7A90" w14:textId="77777777" w:rsidR="00414098" w:rsidRDefault="00414098">
            <w:pPr>
              <w:spacing w:line="240" w:lineRule="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CIO Rijk (bedragen in € x 1 mln.)</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2B00B8F6"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55C47641"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6CF980FD"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3AD660E6"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2024</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4D501C1D"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2025</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15536618"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auto" w:fill="9BC2E6"/>
            <w:vAlign w:val="center"/>
            <w:hideMark/>
          </w:tcPr>
          <w:p w14:paraId="3B806D3A"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Totaal</w:t>
            </w:r>
          </w:p>
        </w:tc>
      </w:tr>
      <w:tr w:rsidR="00414098" w14:paraId="2A82F19B" w14:textId="77777777" w:rsidTr="00414098">
        <w:trPr>
          <w:trHeight w:val="240"/>
        </w:trPr>
        <w:tc>
          <w:tcPr>
            <w:tcW w:w="3330" w:type="dxa"/>
            <w:tcBorders>
              <w:top w:val="nil"/>
              <w:left w:val="single" w:sz="4" w:space="0" w:color="auto"/>
              <w:bottom w:val="single" w:sz="4" w:space="0" w:color="auto"/>
              <w:right w:val="single" w:sz="4" w:space="0" w:color="auto"/>
            </w:tcBorders>
            <w:noWrap/>
            <w:vAlign w:val="bottom"/>
            <w:hideMark/>
          </w:tcPr>
          <w:p w14:paraId="7F5D585B" w14:textId="77777777" w:rsidR="00414098" w:rsidRDefault="00414098">
            <w:pPr>
              <w:spacing w:line="240" w:lineRule="auto"/>
              <w:rPr>
                <w:rFonts w:ascii="Calibri Light" w:eastAsia="Times New Roman" w:hAnsi="Calibri Light" w:cs="Calibri Light"/>
                <w:sz w:val="20"/>
                <w:szCs w:val="20"/>
              </w:rPr>
            </w:pPr>
            <w:r>
              <w:rPr>
                <w:rFonts w:ascii="Calibri Light" w:eastAsia="Times New Roman" w:hAnsi="Calibri Light" w:cs="Calibri Light"/>
                <w:sz w:val="20"/>
                <w:szCs w:val="20"/>
              </w:rPr>
              <w:t>CIO Rijk</w:t>
            </w:r>
          </w:p>
        </w:tc>
        <w:tc>
          <w:tcPr>
            <w:tcW w:w="617" w:type="dxa"/>
            <w:tcBorders>
              <w:top w:val="nil"/>
              <w:left w:val="nil"/>
              <w:bottom w:val="single" w:sz="4" w:space="0" w:color="auto"/>
              <w:right w:val="single" w:sz="4" w:space="0" w:color="auto"/>
            </w:tcBorders>
            <w:noWrap/>
            <w:vAlign w:val="bottom"/>
            <w:hideMark/>
          </w:tcPr>
          <w:p w14:paraId="3B13A214" w14:textId="77777777" w:rsidR="00414098" w:rsidRDefault="00414098">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1.5</w:t>
            </w:r>
          </w:p>
        </w:tc>
        <w:tc>
          <w:tcPr>
            <w:tcW w:w="617" w:type="dxa"/>
            <w:tcBorders>
              <w:top w:val="nil"/>
              <w:left w:val="nil"/>
              <w:bottom w:val="single" w:sz="4" w:space="0" w:color="auto"/>
              <w:right w:val="single" w:sz="4" w:space="0" w:color="auto"/>
            </w:tcBorders>
            <w:noWrap/>
            <w:vAlign w:val="bottom"/>
            <w:hideMark/>
          </w:tcPr>
          <w:p w14:paraId="7B3DBF64" w14:textId="77777777" w:rsidR="00414098" w:rsidRDefault="0041689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1.5</w:t>
            </w:r>
          </w:p>
        </w:tc>
        <w:tc>
          <w:tcPr>
            <w:tcW w:w="617" w:type="dxa"/>
            <w:tcBorders>
              <w:top w:val="nil"/>
              <w:left w:val="nil"/>
              <w:bottom w:val="single" w:sz="4" w:space="0" w:color="auto"/>
              <w:right w:val="single" w:sz="4" w:space="0" w:color="auto"/>
            </w:tcBorders>
            <w:noWrap/>
            <w:vAlign w:val="bottom"/>
            <w:hideMark/>
          </w:tcPr>
          <w:p w14:paraId="0AE44F46" w14:textId="77777777" w:rsidR="00414098" w:rsidRDefault="0041689F" w:rsidP="0041689F">
            <w:pPr>
              <w:spacing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 xml:space="preserve">   1.5</w:t>
            </w:r>
          </w:p>
        </w:tc>
        <w:tc>
          <w:tcPr>
            <w:tcW w:w="617" w:type="dxa"/>
            <w:tcBorders>
              <w:top w:val="nil"/>
              <w:left w:val="nil"/>
              <w:bottom w:val="single" w:sz="4" w:space="0" w:color="auto"/>
              <w:right w:val="single" w:sz="4" w:space="0" w:color="auto"/>
            </w:tcBorders>
            <w:noWrap/>
            <w:vAlign w:val="bottom"/>
            <w:hideMark/>
          </w:tcPr>
          <w:p w14:paraId="73C1F24A" w14:textId="77777777" w:rsidR="00414098" w:rsidRDefault="0041689F" w:rsidP="00F36ED9">
            <w:pPr>
              <w:spacing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 xml:space="preserve">    1.5</w:t>
            </w:r>
          </w:p>
        </w:tc>
        <w:tc>
          <w:tcPr>
            <w:tcW w:w="617" w:type="dxa"/>
            <w:tcBorders>
              <w:top w:val="nil"/>
              <w:left w:val="nil"/>
              <w:bottom w:val="single" w:sz="4" w:space="0" w:color="auto"/>
              <w:right w:val="single" w:sz="4" w:space="0" w:color="auto"/>
            </w:tcBorders>
            <w:noWrap/>
            <w:vAlign w:val="bottom"/>
            <w:hideMark/>
          </w:tcPr>
          <w:p w14:paraId="7278F41F" w14:textId="77777777" w:rsidR="00414098" w:rsidRDefault="0041689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1.5</w:t>
            </w:r>
          </w:p>
        </w:tc>
        <w:tc>
          <w:tcPr>
            <w:tcW w:w="617" w:type="dxa"/>
            <w:tcBorders>
              <w:top w:val="nil"/>
              <w:left w:val="nil"/>
              <w:bottom w:val="single" w:sz="4" w:space="0" w:color="auto"/>
              <w:right w:val="single" w:sz="4" w:space="0" w:color="auto"/>
            </w:tcBorders>
            <w:noWrap/>
            <w:vAlign w:val="bottom"/>
            <w:hideMark/>
          </w:tcPr>
          <w:p w14:paraId="253A3130" w14:textId="77777777" w:rsidR="00414098" w:rsidRDefault="0041689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1.5</w:t>
            </w:r>
          </w:p>
        </w:tc>
        <w:tc>
          <w:tcPr>
            <w:tcW w:w="640" w:type="dxa"/>
            <w:tcBorders>
              <w:top w:val="nil"/>
              <w:left w:val="nil"/>
              <w:bottom w:val="single" w:sz="4" w:space="0" w:color="auto"/>
              <w:right w:val="single" w:sz="4" w:space="0" w:color="auto"/>
            </w:tcBorders>
            <w:noWrap/>
            <w:vAlign w:val="bottom"/>
            <w:hideMark/>
          </w:tcPr>
          <w:p w14:paraId="447DD5E1" w14:textId="77777777" w:rsidR="00414098" w:rsidRDefault="0041689F">
            <w:pPr>
              <w:spacing w:line="240" w:lineRule="auto"/>
              <w:rPr>
                <w:rFonts w:ascii="Calibri Light" w:eastAsia="Times New Roman" w:hAnsi="Calibri Light" w:cs="Calibri Light"/>
                <w:i/>
                <w:iCs/>
                <w:sz w:val="20"/>
                <w:szCs w:val="20"/>
              </w:rPr>
            </w:pPr>
            <w:r>
              <w:rPr>
                <w:rFonts w:ascii="Calibri Light" w:eastAsia="Times New Roman" w:hAnsi="Calibri Light" w:cs="Calibri Light"/>
                <w:iCs/>
                <w:sz w:val="20"/>
                <w:szCs w:val="20"/>
              </w:rPr>
              <w:t>     9</w:t>
            </w:r>
          </w:p>
        </w:tc>
      </w:tr>
      <w:tr w:rsidR="00414098" w14:paraId="2D4C24B5" w14:textId="77777777" w:rsidTr="00414098">
        <w:trPr>
          <w:trHeight w:val="240"/>
        </w:trPr>
        <w:tc>
          <w:tcPr>
            <w:tcW w:w="3330" w:type="dxa"/>
            <w:tcBorders>
              <w:top w:val="nil"/>
              <w:left w:val="single" w:sz="4" w:space="0" w:color="auto"/>
              <w:bottom w:val="single" w:sz="4" w:space="0" w:color="auto"/>
              <w:right w:val="single" w:sz="4" w:space="0" w:color="auto"/>
            </w:tcBorders>
            <w:noWrap/>
            <w:vAlign w:val="bottom"/>
            <w:hideMark/>
          </w:tcPr>
          <w:p w14:paraId="7C7B8B1E" w14:textId="77777777" w:rsidR="00414098" w:rsidRDefault="00414098">
            <w:pPr>
              <w:spacing w:line="240" w:lineRule="auto"/>
              <w:rPr>
                <w:rFonts w:ascii="Calibri Light" w:eastAsia="Times New Roman" w:hAnsi="Calibri Light" w:cs="Calibri Light"/>
                <w:sz w:val="20"/>
                <w:szCs w:val="20"/>
              </w:rPr>
            </w:pPr>
            <w:r>
              <w:rPr>
                <w:rFonts w:ascii="Calibri Light" w:eastAsia="Times New Roman" w:hAnsi="Calibri Light" w:cs="Calibri Light"/>
                <w:sz w:val="20"/>
                <w:szCs w:val="20"/>
              </w:rPr>
              <w:t>Programmakosten</w:t>
            </w:r>
          </w:p>
        </w:tc>
        <w:tc>
          <w:tcPr>
            <w:tcW w:w="617" w:type="dxa"/>
            <w:tcBorders>
              <w:top w:val="nil"/>
              <w:left w:val="nil"/>
              <w:bottom w:val="single" w:sz="4" w:space="0" w:color="auto"/>
              <w:right w:val="single" w:sz="4" w:space="0" w:color="auto"/>
            </w:tcBorders>
            <w:noWrap/>
            <w:vAlign w:val="bottom"/>
            <w:hideMark/>
          </w:tcPr>
          <w:p w14:paraId="2A94E680" w14:textId="77777777" w:rsidR="00414098" w:rsidRDefault="00414098">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3.1</w:t>
            </w:r>
          </w:p>
        </w:tc>
        <w:tc>
          <w:tcPr>
            <w:tcW w:w="617" w:type="dxa"/>
            <w:tcBorders>
              <w:top w:val="nil"/>
              <w:left w:val="nil"/>
              <w:bottom w:val="single" w:sz="4" w:space="0" w:color="auto"/>
              <w:right w:val="single" w:sz="4" w:space="0" w:color="auto"/>
            </w:tcBorders>
            <w:noWrap/>
            <w:vAlign w:val="bottom"/>
            <w:hideMark/>
          </w:tcPr>
          <w:p w14:paraId="2D5B85DB"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noWrap/>
            <w:vAlign w:val="bottom"/>
            <w:hideMark/>
          </w:tcPr>
          <w:p w14:paraId="2B2AF5BB"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noWrap/>
            <w:vAlign w:val="bottom"/>
            <w:hideMark/>
          </w:tcPr>
          <w:p w14:paraId="2A21D23D"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noWrap/>
            <w:vAlign w:val="bottom"/>
            <w:hideMark/>
          </w:tcPr>
          <w:p w14:paraId="6E8B36B0"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noWrap/>
            <w:vAlign w:val="bottom"/>
            <w:hideMark/>
          </w:tcPr>
          <w:p w14:paraId="6DBDF78B"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40" w:type="dxa"/>
            <w:tcBorders>
              <w:top w:val="nil"/>
              <w:left w:val="nil"/>
              <w:bottom w:val="single" w:sz="4" w:space="0" w:color="auto"/>
              <w:right w:val="single" w:sz="4" w:space="0" w:color="auto"/>
            </w:tcBorders>
            <w:noWrap/>
            <w:vAlign w:val="bottom"/>
            <w:hideMark/>
          </w:tcPr>
          <w:p w14:paraId="2BCE8835" w14:textId="77777777" w:rsidR="00414098" w:rsidRDefault="00F36ED9" w:rsidP="00F36ED9">
            <w:pPr>
              <w:spacing w:line="240" w:lineRule="auto"/>
              <w:rPr>
                <w:rFonts w:ascii="Calibri Light" w:eastAsia="Times New Roman" w:hAnsi="Calibri Light" w:cs="Calibri Light"/>
                <w:i/>
                <w:iCs/>
                <w:sz w:val="20"/>
                <w:szCs w:val="20"/>
              </w:rPr>
            </w:pPr>
            <w:r>
              <w:rPr>
                <w:rFonts w:ascii="Calibri Light" w:eastAsia="Times New Roman" w:hAnsi="Calibri Light" w:cs="Calibri Light"/>
                <w:iCs/>
                <w:sz w:val="20"/>
                <w:szCs w:val="20"/>
              </w:rPr>
              <w:t>     PM</w:t>
            </w:r>
          </w:p>
        </w:tc>
      </w:tr>
      <w:tr w:rsidR="00414098" w14:paraId="0870CC86" w14:textId="77777777" w:rsidTr="00414098">
        <w:trPr>
          <w:trHeight w:val="240"/>
        </w:trPr>
        <w:tc>
          <w:tcPr>
            <w:tcW w:w="3330" w:type="dxa"/>
            <w:tcBorders>
              <w:top w:val="nil"/>
              <w:left w:val="single" w:sz="4" w:space="0" w:color="auto"/>
              <w:bottom w:val="single" w:sz="4" w:space="0" w:color="auto"/>
              <w:right w:val="single" w:sz="4" w:space="0" w:color="auto"/>
            </w:tcBorders>
            <w:shd w:val="clear" w:color="auto" w:fill="DDEBF7"/>
            <w:noWrap/>
            <w:vAlign w:val="bottom"/>
            <w:hideMark/>
          </w:tcPr>
          <w:p w14:paraId="5D290A38" w14:textId="77777777" w:rsidR="00414098" w:rsidRDefault="00414098">
            <w:pPr>
              <w:spacing w:line="240" w:lineRule="auto"/>
              <w:rPr>
                <w:rFonts w:ascii="Calibri Light" w:eastAsia="Times New Roman" w:hAnsi="Calibri Light" w:cs="Calibri Light"/>
                <w:sz w:val="20"/>
                <w:szCs w:val="20"/>
              </w:rPr>
            </w:pPr>
            <w:r>
              <w:rPr>
                <w:rFonts w:ascii="Calibri Light" w:eastAsia="Times New Roman" w:hAnsi="Calibri Light" w:cs="Calibri Light"/>
                <w:sz w:val="20"/>
                <w:szCs w:val="20"/>
              </w:rPr>
              <w:t>Totaal</w:t>
            </w:r>
          </w:p>
        </w:tc>
        <w:tc>
          <w:tcPr>
            <w:tcW w:w="617" w:type="dxa"/>
            <w:tcBorders>
              <w:top w:val="nil"/>
              <w:left w:val="nil"/>
              <w:bottom w:val="single" w:sz="4" w:space="0" w:color="auto"/>
              <w:right w:val="single" w:sz="4" w:space="0" w:color="auto"/>
            </w:tcBorders>
            <w:shd w:val="clear" w:color="auto" w:fill="DDEBF7"/>
            <w:noWrap/>
            <w:vAlign w:val="bottom"/>
            <w:hideMark/>
          </w:tcPr>
          <w:p w14:paraId="0A79F7B7" w14:textId="77777777" w:rsidR="00414098" w:rsidRDefault="00414098">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4.6</w:t>
            </w:r>
          </w:p>
        </w:tc>
        <w:tc>
          <w:tcPr>
            <w:tcW w:w="617" w:type="dxa"/>
            <w:tcBorders>
              <w:top w:val="nil"/>
              <w:left w:val="nil"/>
              <w:bottom w:val="single" w:sz="4" w:space="0" w:color="auto"/>
              <w:right w:val="single" w:sz="4" w:space="0" w:color="auto"/>
            </w:tcBorders>
            <w:shd w:val="clear" w:color="auto" w:fill="DDEBF7"/>
            <w:noWrap/>
            <w:vAlign w:val="bottom"/>
            <w:hideMark/>
          </w:tcPr>
          <w:p w14:paraId="0420D424"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shd w:val="clear" w:color="auto" w:fill="DDEBF7"/>
            <w:noWrap/>
            <w:vAlign w:val="bottom"/>
            <w:hideMark/>
          </w:tcPr>
          <w:p w14:paraId="7A772671"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shd w:val="clear" w:color="auto" w:fill="DDEBF7"/>
            <w:noWrap/>
            <w:vAlign w:val="bottom"/>
            <w:hideMark/>
          </w:tcPr>
          <w:p w14:paraId="480AB430"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shd w:val="clear" w:color="auto" w:fill="DDEBF7"/>
            <w:noWrap/>
            <w:vAlign w:val="bottom"/>
            <w:hideMark/>
          </w:tcPr>
          <w:p w14:paraId="5DAF6815"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shd w:val="clear" w:color="auto" w:fill="DDEBF7"/>
            <w:noWrap/>
            <w:vAlign w:val="bottom"/>
            <w:hideMark/>
          </w:tcPr>
          <w:p w14:paraId="2D38D4E2"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40" w:type="dxa"/>
            <w:tcBorders>
              <w:top w:val="nil"/>
              <w:left w:val="nil"/>
              <w:bottom w:val="single" w:sz="4" w:space="0" w:color="auto"/>
              <w:right w:val="single" w:sz="4" w:space="0" w:color="auto"/>
            </w:tcBorders>
            <w:shd w:val="clear" w:color="auto" w:fill="DDEBF7"/>
            <w:noWrap/>
            <w:vAlign w:val="bottom"/>
            <w:hideMark/>
          </w:tcPr>
          <w:p w14:paraId="784BA11D" w14:textId="77777777" w:rsidR="00414098" w:rsidRDefault="00F36ED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r>
    </w:tbl>
    <w:p w14:paraId="6A62F53D" w14:textId="77777777" w:rsidR="00404B0B" w:rsidRDefault="00404B0B" w:rsidP="007F2A09"/>
    <w:p w14:paraId="716706B7" w14:textId="77777777" w:rsidR="00070A56" w:rsidRPr="00762091" w:rsidRDefault="00070A56" w:rsidP="00A51CD4">
      <w:pPr>
        <w:pStyle w:val="Lijstalinea"/>
        <w:numPr>
          <w:ilvl w:val="0"/>
          <w:numId w:val="34"/>
        </w:numPr>
        <w:rPr>
          <w:u w:val="single"/>
        </w:rPr>
      </w:pPr>
      <w:r w:rsidRPr="00762091">
        <w:rPr>
          <w:u w:val="single"/>
        </w:rPr>
        <w:t>BZK-CZW</w:t>
      </w:r>
    </w:p>
    <w:p w14:paraId="1879875B" w14:textId="77777777" w:rsidR="00070A56" w:rsidRDefault="00996E7A" w:rsidP="007F2A09">
      <w:r>
        <w:t>De geoormerkte gelden voor BZK-CZW worden toegekend voor het o</w:t>
      </w:r>
      <w:r w:rsidR="00404B0B">
        <w:t xml:space="preserve">pstellen en uitvoeren van het </w:t>
      </w:r>
      <w:proofErr w:type="spellStart"/>
      <w:r>
        <w:t>Rijksbrede</w:t>
      </w:r>
      <w:proofErr w:type="spellEnd"/>
      <w:r>
        <w:t xml:space="preserve"> </w:t>
      </w:r>
      <w:r w:rsidR="00404B0B">
        <w:t xml:space="preserve">juridisch kader, ontwikkelen van procedures en het bieden van ondersteuning bij </w:t>
      </w:r>
      <w:r>
        <w:t xml:space="preserve">de </w:t>
      </w:r>
      <w:r w:rsidR="00404B0B">
        <w:t xml:space="preserve">informatieverstrekking </w:t>
      </w:r>
      <w:r>
        <w:t xml:space="preserve">aan het parlement (Art. 68 GW) en de </w:t>
      </w:r>
      <w:r w:rsidR="00404B0B">
        <w:t>acti</w:t>
      </w:r>
      <w:r>
        <w:t>eve en passieve openbaarmaking conform WOO</w:t>
      </w:r>
      <w:r w:rsidR="00404B0B">
        <w:t xml:space="preserve">. </w:t>
      </w:r>
    </w:p>
    <w:p w14:paraId="094A5EB1" w14:textId="77777777" w:rsidR="001B7338" w:rsidRDefault="001B7338" w:rsidP="007F2A09"/>
    <w:tbl>
      <w:tblPr>
        <w:tblW w:w="7672" w:type="dxa"/>
        <w:tblInd w:w="70" w:type="dxa"/>
        <w:tblCellMar>
          <w:left w:w="70" w:type="dxa"/>
          <w:right w:w="70" w:type="dxa"/>
        </w:tblCellMar>
        <w:tblLook w:val="04A0" w:firstRow="1" w:lastRow="0" w:firstColumn="1" w:lastColumn="0" w:noHBand="0" w:noVBand="1"/>
      </w:tblPr>
      <w:tblGrid>
        <w:gridCol w:w="3330"/>
        <w:gridCol w:w="617"/>
        <w:gridCol w:w="617"/>
        <w:gridCol w:w="617"/>
        <w:gridCol w:w="617"/>
        <w:gridCol w:w="617"/>
        <w:gridCol w:w="617"/>
        <w:gridCol w:w="640"/>
      </w:tblGrid>
      <w:tr w:rsidR="00CE171F" w14:paraId="5F8F83F7" w14:textId="77777777" w:rsidTr="00CE171F">
        <w:trPr>
          <w:trHeight w:val="476"/>
        </w:trPr>
        <w:tc>
          <w:tcPr>
            <w:tcW w:w="3330"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051F5B5C" w14:textId="77777777" w:rsidR="00CE171F" w:rsidRDefault="00CE171F" w:rsidP="00CE171F">
            <w:pPr>
              <w:spacing w:line="240" w:lineRule="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BZK-CZW (bedragen in € x 1 mln.)</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1F008E99" w14:textId="77777777" w:rsidR="00CE171F" w:rsidRDefault="00CE171F" w:rsidP="00CE171F">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736B4391" w14:textId="77777777" w:rsidR="00CE171F" w:rsidRDefault="00CE171F" w:rsidP="00CE171F">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750C1685" w14:textId="77777777" w:rsidR="00CE171F" w:rsidRDefault="00CE171F" w:rsidP="00CE171F">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6BC8EE77" w14:textId="77777777" w:rsidR="00CE171F" w:rsidRDefault="00CE171F" w:rsidP="00CE171F">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2024</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167138B4" w14:textId="77777777" w:rsidR="00CE171F" w:rsidRDefault="00CE171F" w:rsidP="00CE171F">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2025</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10991368" w14:textId="77777777" w:rsidR="00CE171F" w:rsidRDefault="00CE171F" w:rsidP="00CE171F">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auto" w:fill="9BC2E6"/>
            <w:vAlign w:val="center"/>
            <w:hideMark/>
          </w:tcPr>
          <w:p w14:paraId="5B8A313B" w14:textId="77777777" w:rsidR="00CE171F" w:rsidRDefault="00CE171F" w:rsidP="00CE171F">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Totaal</w:t>
            </w:r>
          </w:p>
        </w:tc>
      </w:tr>
      <w:tr w:rsidR="00CE171F" w14:paraId="66EB40FC" w14:textId="77777777" w:rsidTr="00CE171F">
        <w:trPr>
          <w:trHeight w:val="240"/>
        </w:trPr>
        <w:tc>
          <w:tcPr>
            <w:tcW w:w="3330" w:type="dxa"/>
            <w:tcBorders>
              <w:top w:val="nil"/>
              <w:left w:val="single" w:sz="4" w:space="0" w:color="auto"/>
              <w:bottom w:val="single" w:sz="4" w:space="0" w:color="auto"/>
              <w:right w:val="single" w:sz="4" w:space="0" w:color="auto"/>
            </w:tcBorders>
            <w:noWrap/>
            <w:vAlign w:val="bottom"/>
            <w:hideMark/>
          </w:tcPr>
          <w:p w14:paraId="1FC68B46" w14:textId="77777777" w:rsidR="00CE171F" w:rsidRDefault="00410E4C" w:rsidP="00CE171F">
            <w:pPr>
              <w:spacing w:line="240" w:lineRule="auto"/>
              <w:rPr>
                <w:rFonts w:ascii="Calibri Light" w:eastAsia="Times New Roman" w:hAnsi="Calibri Light" w:cs="Calibri Light"/>
                <w:sz w:val="20"/>
                <w:szCs w:val="20"/>
              </w:rPr>
            </w:pPr>
            <w:r>
              <w:rPr>
                <w:rFonts w:ascii="Calibri Light" w:eastAsia="Times New Roman" w:hAnsi="Calibri Light" w:cs="Calibri Light"/>
                <w:sz w:val="20"/>
                <w:szCs w:val="20"/>
              </w:rPr>
              <w:t xml:space="preserve">Uitvoering en beleid IHH-IV </w:t>
            </w:r>
          </w:p>
        </w:tc>
        <w:tc>
          <w:tcPr>
            <w:tcW w:w="617" w:type="dxa"/>
            <w:tcBorders>
              <w:top w:val="nil"/>
              <w:left w:val="nil"/>
              <w:bottom w:val="single" w:sz="4" w:space="0" w:color="auto"/>
              <w:right w:val="single" w:sz="4" w:space="0" w:color="auto"/>
            </w:tcBorders>
            <w:noWrap/>
            <w:vAlign w:val="bottom"/>
            <w:hideMark/>
          </w:tcPr>
          <w:p w14:paraId="1ED9CF87" w14:textId="77777777" w:rsidR="00CE171F" w:rsidRDefault="00410E4C"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1.89</w:t>
            </w:r>
          </w:p>
        </w:tc>
        <w:tc>
          <w:tcPr>
            <w:tcW w:w="617" w:type="dxa"/>
            <w:tcBorders>
              <w:top w:val="nil"/>
              <w:left w:val="nil"/>
              <w:bottom w:val="single" w:sz="4" w:space="0" w:color="auto"/>
              <w:right w:val="single" w:sz="4" w:space="0" w:color="auto"/>
            </w:tcBorders>
            <w:noWrap/>
            <w:vAlign w:val="bottom"/>
            <w:hideMark/>
          </w:tcPr>
          <w:p w14:paraId="24FB3261" w14:textId="77777777" w:rsidR="00CE171F" w:rsidRDefault="00410E4C"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1.89</w:t>
            </w:r>
          </w:p>
        </w:tc>
        <w:tc>
          <w:tcPr>
            <w:tcW w:w="617" w:type="dxa"/>
            <w:tcBorders>
              <w:top w:val="nil"/>
              <w:left w:val="nil"/>
              <w:bottom w:val="single" w:sz="4" w:space="0" w:color="auto"/>
              <w:right w:val="single" w:sz="4" w:space="0" w:color="auto"/>
            </w:tcBorders>
            <w:noWrap/>
            <w:vAlign w:val="bottom"/>
            <w:hideMark/>
          </w:tcPr>
          <w:p w14:paraId="53C87FE4" w14:textId="77777777" w:rsidR="00CE171F" w:rsidRDefault="00410E4C"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1.08</w:t>
            </w:r>
          </w:p>
        </w:tc>
        <w:tc>
          <w:tcPr>
            <w:tcW w:w="617" w:type="dxa"/>
            <w:tcBorders>
              <w:top w:val="nil"/>
              <w:left w:val="nil"/>
              <w:bottom w:val="single" w:sz="4" w:space="0" w:color="auto"/>
              <w:right w:val="single" w:sz="4" w:space="0" w:color="auto"/>
            </w:tcBorders>
            <w:noWrap/>
            <w:vAlign w:val="bottom"/>
            <w:hideMark/>
          </w:tcPr>
          <w:p w14:paraId="4DDF20B3" w14:textId="77777777" w:rsidR="00CE171F" w:rsidRDefault="00410E4C"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1.08</w:t>
            </w:r>
          </w:p>
        </w:tc>
        <w:tc>
          <w:tcPr>
            <w:tcW w:w="617" w:type="dxa"/>
            <w:tcBorders>
              <w:top w:val="nil"/>
              <w:left w:val="nil"/>
              <w:bottom w:val="single" w:sz="4" w:space="0" w:color="auto"/>
              <w:right w:val="single" w:sz="4" w:space="0" w:color="auto"/>
            </w:tcBorders>
            <w:noWrap/>
            <w:vAlign w:val="bottom"/>
            <w:hideMark/>
          </w:tcPr>
          <w:p w14:paraId="03F648D3" w14:textId="77777777" w:rsidR="00CE171F" w:rsidRDefault="00410E4C"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1.08</w:t>
            </w:r>
          </w:p>
        </w:tc>
        <w:tc>
          <w:tcPr>
            <w:tcW w:w="617" w:type="dxa"/>
            <w:tcBorders>
              <w:top w:val="nil"/>
              <w:left w:val="nil"/>
              <w:bottom w:val="single" w:sz="4" w:space="0" w:color="auto"/>
              <w:right w:val="single" w:sz="4" w:space="0" w:color="auto"/>
            </w:tcBorders>
            <w:noWrap/>
            <w:vAlign w:val="bottom"/>
            <w:hideMark/>
          </w:tcPr>
          <w:p w14:paraId="1A54794E" w14:textId="77777777" w:rsidR="00CE171F" w:rsidRDefault="00410E4C"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1.08</w:t>
            </w:r>
          </w:p>
        </w:tc>
        <w:tc>
          <w:tcPr>
            <w:tcW w:w="640" w:type="dxa"/>
            <w:tcBorders>
              <w:top w:val="nil"/>
              <w:left w:val="nil"/>
              <w:bottom w:val="single" w:sz="4" w:space="0" w:color="auto"/>
              <w:right w:val="single" w:sz="4" w:space="0" w:color="auto"/>
            </w:tcBorders>
            <w:noWrap/>
            <w:vAlign w:val="bottom"/>
            <w:hideMark/>
          </w:tcPr>
          <w:p w14:paraId="35BE7715" w14:textId="77777777" w:rsidR="00CE171F" w:rsidRDefault="00410E4C" w:rsidP="00CE171F">
            <w:pPr>
              <w:spacing w:line="240" w:lineRule="auto"/>
              <w:rPr>
                <w:rFonts w:ascii="Calibri Light" w:eastAsia="Times New Roman" w:hAnsi="Calibri Light" w:cs="Calibri Light"/>
                <w:i/>
                <w:iCs/>
                <w:sz w:val="20"/>
                <w:szCs w:val="20"/>
              </w:rPr>
            </w:pPr>
            <w:r>
              <w:rPr>
                <w:rFonts w:ascii="Calibri Light" w:eastAsia="Times New Roman" w:hAnsi="Calibri Light" w:cs="Calibri Light"/>
                <w:iCs/>
                <w:sz w:val="20"/>
                <w:szCs w:val="20"/>
              </w:rPr>
              <w:t>   8.20</w:t>
            </w:r>
          </w:p>
        </w:tc>
      </w:tr>
      <w:tr w:rsidR="00CE171F" w14:paraId="5E8B9EA1" w14:textId="77777777" w:rsidTr="00CE171F">
        <w:trPr>
          <w:trHeight w:val="240"/>
        </w:trPr>
        <w:tc>
          <w:tcPr>
            <w:tcW w:w="3330" w:type="dxa"/>
            <w:tcBorders>
              <w:top w:val="nil"/>
              <w:left w:val="single" w:sz="4" w:space="0" w:color="auto"/>
              <w:bottom w:val="single" w:sz="4" w:space="0" w:color="auto"/>
              <w:right w:val="single" w:sz="4" w:space="0" w:color="auto"/>
            </w:tcBorders>
            <w:noWrap/>
            <w:vAlign w:val="bottom"/>
            <w:hideMark/>
          </w:tcPr>
          <w:p w14:paraId="6A28F403" w14:textId="77777777" w:rsidR="00CE171F" w:rsidRDefault="00410E4C" w:rsidP="00CE171F">
            <w:pPr>
              <w:spacing w:line="240" w:lineRule="auto"/>
              <w:rPr>
                <w:rFonts w:ascii="Calibri Light" w:eastAsia="Times New Roman" w:hAnsi="Calibri Light" w:cs="Calibri Light"/>
                <w:sz w:val="20"/>
                <w:szCs w:val="20"/>
              </w:rPr>
            </w:pPr>
            <w:r>
              <w:rPr>
                <w:rFonts w:ascii="Calibri Light" w:eastAsia="Times New Roman" w:hAnsi="Calibri Light" w:cs="Calibri Light"/>
                <w:sz w:val="20"/>
                <w:szCs w:val="20"/>
              </w:rPr>
              <w:t>Rechtsstaat beleid en staatscommissie</w:t>
            </w:r>
          </w:p>
        </w:tc>
        <w:tc>
          <w:tcPr>
            <w:tcW w:w="617" w:type="dxa"/>
            <w:tcBorders>
              <w:top w:val="nil"/>
              <w:left w:val="nil"/>
              <w:bottom w:val="single" w:sz="4" w:space="0" w:color="auto"/>
              <w:right w:val="single" w:sz="4" w:space="0" w:color="auto"/>
            </w:tcBorders>
            <w:noWrap/>
            <w:vAlign w:val="bottom"/>
            <w:hideMark/>
          </w:tcPr>
          <w:p w14:paraId="40260995"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0.92</w:t>
            </w:r>
          </w:p>
        </w:tc>
        <w:tc>
          <w:tcPr>
            <w:tcW w:w="617" w:type="dxa"/>
            <w:tcBorders>
              <w:top w:val="nil"/>
              <w:left w:val="nil"/>
              <w:bottom w:val="single" w:sz="4" w:space="0" w:color="auto"/>
              <w:right w:val="single" w:sz="4" w:space="0" w:color="auto"/>
            </w:tcBorders>
            <w:noWrap/>
            <w:vAlign w:val="bottom"/>
            <w:hideMark/>
          </w:tcPr>
          <w:p w14:paraId="0E4A6197" w14:textId="77777777" w:rsidR="00CE171F" w:rsidRDefault="00996E7A" w:rsidP="00CE171F">
            <w:pPr>
              <w:spacing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 xml:space="preserve">  </w:t>
            </w:r>
            <w:r w:rsidR="000E1DCA">
              <w:rPr>
                <w:rFonts w:ascii="Calibri Light" w:eastAsia="Times New Roman" w:hAnsi="Calibri Light" w:cs="Calibri Light"/>
                <w:sz w:val="20"/>
                <w:szCs w:val="20"/>
              </w:rPr>
              <w:t>1.42</w:t>
            </w:r>
          </w:p>
        </w:tc>
        <w:tc>
          <w:tcPr>
            <w:tcW w:w="617" w:type="dxa"/>
            <w:tcBorders>
              <w:top w:val="nil"/>
              <w:left w:val="nil"/>
              <w:bottom w:val="single" w:sz="4" w:space="0" w:color="auto"/>
              <w:right w:val="single" w:sz="4" w:space="0" w:color="auto"/>
            </w:tcBorders>
            <w:noWrap/>
            <w:vAlign w:val="bottom"/>
            <w:hideMark/>
          </w:tcPr>
          <w:p w14:paraId="568E83C5"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1.23</w:t>
            </w:r>
          </w:p>
        </w:tc>
        <w:tc>
          <w:tcPr>
            <w:tcW w:w="617" w:type="dxa"/>
            <w:tcBorders>
              <w:top w:val="nil"/>
              <w:left w:val="nil"/>
              <w:bottom w:val="single" w:sz="4" w:space="0" w:color="auto"/>
              <w:right w:val="single" w:sz="4" w:space="0" w:color="auto"/>
            </w:tcBorders>
            <w:noWrap/>
            <w:vAlign w:val="bottom"/>
            <w:hideMark/>
          </w:tcPr>
          <w:p w14:paraId="3461F2F6"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0.38</w:t>
            </w:r>
          </w:p>
        </w:tc>
        <w:tc>
          <w:tcPr>
            <w:tcW w:w="617" w:type="dxa"/>
            <w:tcBorders>
              <w:top w:val="nil"/>
              <w:left w:val="nil"/>
              <w:bottom w:val="single" w:sz="4" w:space="0" w:color="auto"/>
              <w:right w:val="single" w:sz="4" w:space="0" w:color="auto"/>
            </w:tcBorders>
            <w:noWrap/>
            <w:vAlign w:val="bottom"/>
            <w:hideMark/>
          </w:tcPr>
          <w:p w14:paraId="2CB28B67"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0.38</w:t>
            </w:r>
          </w:p>
        </w:tc>
        <w:tc>
          <w:tcPr>
            <w:tcW w:w="617" w:type="dxa"/>
            <w:tcBorders>
              <w:top w:val="nil"/>
              <w:left w:val="nil"/>
              <w:bottom w:val="single" w:sz="4" w:space="0" w:color="auto"/>
              <w:right w:val="single" w:sz="4" w:space="0" w:color="auto"/>
            </w:tcBorders>
            <w:noWrap/>
            <w:vAlign w:val="bottom"/>
            <w:hideMark/>
          </w:tcPr>
          <w:p w14:paraId="589AC58F"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0.38</w:t>
            </w:r>
          </w:p>
        </w:tc>
        <w:tc>
          <w:tcPr>
            <w:tcW w:w="640" w:type="dxa"/>
            <w:tcBorders>
              <w:top w:val="nil"/>
              <w:left w:val="nil"/>
              <w:bottom w:val="single" w:sz="4" w:space="0" w:color="auto"/>
              <w:right w:val="single" w:sz="4" w:space="0" w:color="auto"/>
            </w:tcBorders>
            <w:noWrap/>
            <w:vAlign w:val="bottom"/>
            <w:hideMark/>
          </w:tcPr>
          <w:p w14:paraId="4499E24E" w14:textId="77777777" w:rsidR="00CE171F" w:rsidRDefault="000E1DCA" w:rsidP="00CE171F">
            <w:pPr>
              <w:spacing w:line="240" w:lineRule="auto"/>
              <w:rPr>
                <w:rFonts w:ascii="Calibri Light" w:eastAsia="Times New Roman" w:hAnsi="Calibri Light" w:cs="Calibri Light"/>
                <w:i/>
                <w:iCs/>
                <w:sz w:val="20"/>
                <w:szCs w:val="20"/>
              </w:rPr>
            </w:pPr>
            <w:r>
              <w:rPr>
                <w:rFonts w:ascii="Calibri Light" w:eastAsia="Times New Roman" w:hAnsi="Calibri Light" w:cs="Calibri Light"/>
                <w:iCs/>
                <w:sz w:val="20"/>
                <w:szCs w:val="20"/>
              </w:rPr>
              <w:t>   4.71</w:t>
            </w:r>
          </w:p>
        </w:tc>
      </w:tr>
      <w:tr w:rsidR="00CE171F" w14:paraId="18F3DB36" w14:textId="77777777" w:rsidTr="00CE171F">
        <w:trPr>
          <w:trHeight w:val="240"/>
        </w:trPr>
        <w:tc>
          <w:tcPr>
            <w:tcW w:w="3330" w:type="dxa"/>
            <w:tcBorders>
              <w:top w:val="nil"/>
              <w:left w:val="single" w:sz="4" w:space="0" w:color="auto"/>
              <w:bottom w:val="single" w:sz="4" w:space="0" w:color="auto"/>
              <w:right w:val="single" w:sz="4" w:space="0" w:color="auto"/>
            </w:tcBorders>
            <w:shd w:val="clear" w:color="auto" w:fill="DDEBF7"/>
            <w:noWrap/>
            <w:vAlign w:val="bottom"/>
            <w:hideMark/>
          </w:tcPr>
          <w:p w14:paraId="2D516D97" w14:textId="77777777" w:rsidR="00CE171F" w:rsidRDefault="00CE171F" w:rsidP="00CE171F">
            <w:pPr>
              <w:spacing w:line="240" w:lineRule="auto"/>
              <w:rPr>
                <w:rFonts w:ascii="Calibri Light" w:eastAsia="Times New Roman" w:hAnsi="Calibri Light" w:cs="Calibri Light"/>
                <w:sz w:val="20"/>
                <w:szCs w:val="20"/>
              </w:rPr>
            </w:pPr>
            <w:r>
              <w:rPr>
                <w:rFonts w:ascii="Calibri Light" w:eastAsia="Times New Roman" w:hAnsi="Calibri Light" w:cs="Calibri Light"/>
                <w:sz w:val="20"/>
                <w:szCs w:val="20"/>
              </w:rPr>
              <w:t>Totaal</w:t>
            </w:r>
          </w:p>
        </w:tc>
        <w:tc>
          <w:tcPr>
            <w:tcW w:w="617" w:type="dxa"/>
            <w:tcBorders>
              <w:top w:val="nil"/>
              <w:left w:val="nil"/>
              <w:bottom w:val="single" w:sz="4" w:space="0" w:color="auto"/>
              <w:right w:val="single" w:sz="4" w:space="0" w:color="auto"/>
            </w:tcBorders>
            <w:shd w:val="clear" w:color="auto" w:fill="DDEBF7"/>
            <w:noWrap/>
            <w:vAlign w:val="bottom"/>
            <w:hideMark/>
          </w:tcPr>
          <w:p w14:paraId="27E6114C"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2.81</w:t>
            </w:r>
          </w:p>
        </w:tc>
        <w:tc>
          <w:tcPr>
            <w:tcW w:w="617" w:type="dxa"/>
            <w:tcBorders>
              <w:top w:val="nil"/>
              <w:left w:val="nil"/>
              <w:bottom w:val="single" w:sz="4" w:space="0" w:color="auto"/>
              <w:right w:val="single" w:sz="4" w:space="0" w:color="auto"/>
            </w:tcBorders>
            <w:shd w:val="clear" w:color="auto" w:fill="DDEBF7"/>
            <w:noWrap/>
            <w:vAlign w:val="bottom"/>
            <w:hideMark/>
          </w:tcPr>
          <w:p w14:paraId="4032697A"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3.31</w:t>
            </w:r>
          </w:p>
        </w:tc>
        <w:tc>
          <w:tcPr>
            <w:tcW w:w="617" w:type="dxa"/>
            <w:tcBorders>
              <w:top w:val="nil"/>
              <w:left w:val="nil"/>
              <w:bottom w:val="single" w:sz="4" w:space="0" w:color="auto"/>
              <w:right w:val="single" w:sz="4" w:space="0" w:color="auto"/>
            </w:tcBorders>
            <w:shd w:val="clear" w:color="auto" w:fill="DDEBF7"/>
            <w:noWrap/>
            <w:vAlign w:val="bottom"/>
            <w:hideMark/>
          </w:tcPr>
          <w:p w14:paraId="69053121"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2.31</w:t>
            </w:r>
          </w:p>
        </w:tc>
        <w:tc>
          <w:tcPr>
            <w:tcW w:w="617" w:type="dxa"/>
            <w:tcBorders>
              <w:top w:val="nil"/>
              <w:left w:val="nil"/>
              <w:bottom w:val="single" w:sz="4" w:space="0" w:color="auto"/>
              <w:right w:val="single" w:sz="4" w:space="0" w:color="auto"/>
            </w:tcBorders>
            <w:shd w:val="clear" w:color="auto" w:fill="DDEBF7"/>
            <w:noWrap/>
            <w:vAlign w:val="bottom"/>
            <w:hideMark/>
          </w:tcPr>
          <w:p w14:paraId="073AA798"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1.46</w:t>
            </w:r>
          </w:p>
        </w:tc>
        <w:tc>
          <w:tcPr>
            <w:tcW w:w="617" w:type="dxa"/>
            <w:tcBorders>
              <w:top w:val="nil"/>
              <w:left w:val="nil"/>
              <w:bottom w:val="single" w:sz="4" w:space="0" w:color="auto"/>
              <w:right w:val="single" w:sz="4" w:space="0" w:color="auto"/>
            </w:tcBorders>
            <w:shd w:val="clear" w:color="auto" w:fill="DDEBF7"/>
            <w:noWrap/>
            <w:vAlign w:val="bottom"/>
            <w:hideMark/>
          </w:tcPr>
          <w:p w14:paraId="703C1535"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1.46</w:t>
            </w:r>
          </w:p>
        </w:tc>
        <w:tc>
          <w:tcPr>
            <w:tcW w:w="617" w:type="dxa"/>
            <w:tcBorders>
              <w:top w:val="nil"/>
              <w:left w:val="nil"/>
              <w:bottom w:val="single" w:sz="4" w:space="0" w:color="auto"/>
              <w:right w:val="single" w:sz="4" w:space="0" w:color="auto"/>
            </w:tcBorders>
            <w:shd w:val="clear" w:color="auto" w:fill="DDEBF7"/>
            <w:noWrap/>
            <w:vAlign w:val="bottom"/>
            <w:hideMark/>
          </w:tcPr>
          <w:p w14:paraId="4C068BCA" w14:textId="77777777" w:rsidR="00CE171F" w:rsidRDefault="000E1DCA" w:rsidP="00996E7A">
            <w:pPr>
              <w:spacing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 xml:space="preserve">  1.46</w:t>
            </w:r>
          </w:p>
        </w:tc>
        <w:tc>
          <w:tcPr>
            <w:tcW w:w="640" w:type="dxa"/>
            <w:tcBorders>
              <w:top w:val="nil"/>
              <w:left w:val="nil"/>
              <w:bottom w:val="single" w:sz="4" w:space="0" w:color="auto"/>
              <w:right w:val="single" w:sz="4" w:space="0" w:color="auto"/>
            </w:tcBorders>
            <w:shd w:val="clear" w:color="auto" w:fill="DDEBF7"/>
            <w:noWrap/>
            <w:vAlign w:val="bottom"/>
            <w:hideMark/>
          </w:tcPr>
          <w:p w14:paraId="322D8FD6" w14:textId="77777777" w:rsidR="00CE171F" w:rsidRDefault="000E1DCA" w:rsidP="00CE171F">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12.9</w:t>
            </w:r>
          </w:p>
        </w:tc>
      </w:tr>
    </w:tbl>
    <w:p w14:paraId="5E2D719E" w14:textId="77777777" w:rsidR="00CE171F" w:rsidRDefault="00CE171F" w:rsidP="007F2A09"/>
    <w:p w14:paraId="106CB3C9" w14:textId="77777777" w:rsidR="001B7338" w:rsidRPr="00762091" w:rsidRDefault="001B7338" w:rsidP="00A51CD4">
      <w:pPr>
        <w:pStyle w:val="Lijstalinea"/>
        <w:numPr>
          <w:ilvl w:val="0"/>
          <w:numId w:val="34"/>
        </w:numPr>
        <w:rPr>
          <w:u w:val="single"/>
        </w:rPr>
      </w:pPr>
      <w:r w:rsidRPr="00762091">
        <w:rPr>
          <w:u w:val="single"/>
        </w:rPr>
        <w:t>Adviescollege WOO</w:t>
      </w:r>
    </w:p>
    <w:p w14:paraId="3539E363" w14:textId="77777777" w:rsidR="001B7338" w:rsidRDefault="00E973B9" w:rsidP="00E973B9">
      <w:r>
        <w:t xml:space="preserve">Het Adviescollege openbaarheid en informatiehuishouding dat ingesteld wordt met de inwerkintreding van de </w:t>
      </w:r>
      <w:proofErr w:type="spellStart"/>
      <w:r>
        <w:t>Woo</w:t>
      </w:r>
      <w:proofErr w:type="spellEnd"/>
      <w:r>
        <w:t xml:space="preserve">, zal adviseren over het openbaarheidsbeleid van de overheid: over onder andere de uitvoering van de regels over openbaarmaking </w:t>
      </w:r>
      <w:r>
        <w:lastRenderedPageBreak/>
        <w:t xml:space="preserve">van publieke informatie, de toegang tot de publieke informatie en over voorstellen van wet en ontwerpen van algemene maatregelen van bestuur die geheel of voor een belangrijk deel betrekking hebben op de openbaarmaking en de ontsluiting van publieke informatie. </w:t>
      </w:r>
      <w:r w:rsidR="00F873DD">
        <w:t xml:space="preserve">Ook zal het adviescollege een bemiddelingsfunctie gaan vervullen bij klachten over </w:t>
      </w:r>
      <w:proofErr w:type="spellStart"/>
      <w:r w:rsidR="00F873DD">
        <w:t>woo</w:t>
      </w:r>
      <w:proofErr w:type="spellEnd"/>
      <w:r w:rsidR="00F873DD">
        <w:t xml:space="preserve">-verzoeken. </w:t>
      </w:r>
    </w:p>
    <w:tbl>
      <w:tblPr>
        <w:tblW w:w="7672" w:type="dxa"/>
        <w:tblInd w:w="70" w:type="dxa"/>
        <w:tblCellMar>
          <w:left w:w="70" w:type="dxa"/>
          <w:right w:w="70" w:type="dxa"/>
        </w:tblCellMar>
        <w:tblLook w:val="04A0" w:firstRow="1" w:lastRow="0" w:firstColumn="1" w:lastColumn="0" w:noHBand="0" w:noVBand="1"/>
      </w:tblPr>
      <w:tblGrid>
        <w:gridCol w:w="3330"/>
        <w:gridCol w:w="617"/>
        <w:gridCol w:w="617"/>
        <w:gridCol w:w="617"/>
        <w:gridCol w:w="617"/>
        <w:gridCol w:w="617"/>
        <w:gridCol w:w="617"/>
        <w:gridCol w:w="640"/>
      </w:tblGrid>
      <w:tr w:rsidR="00B863B7" w:rsidRPr="008A3538" w14:paraId="484982D0" w14:textId="77777777" w:rsidTr="00CE171F">
        <w:trPr>
          <w:trHeight w:val="240"/>
        </w:trPr>
        <w:tc>
          <w:tcPr>
            <w:tcW w:w="3947" w:type="dxa"/>
            <w:gridSpan w:val="2"/>
            <w:tcBorders>
              <w:top w:val="nil"/>
              <w:left w:val="nil"/>
              <w:bottom w:val="nil"/>
              <w:right w:val="nil"/>
            </w:tcBorders>
            <w:shd w:val="clear" w:color="auto" w:fill="auto"/>
            <w:noWrap/>
            <w:vAlign w:val="bottom"/>
            <w:hideMark/>
          </w:tcPr>
          <w:p w14:paraId="08D51DBE" w14:textId="77777777" w:rsidR="00B863B7" w:rsidRPr="008A3538" w:rsidRDefault="00B863B7" w:rsidP="00CE171F">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72E2AE27" w14:textId="77777777" w:rsidR="00B863B7" w:rsidRPr="008A3538" w:rsidRDefault="00B863B7" w:rsidP="00CE171F">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7D400DD8" w14:textId="77777777" w:rsidR="00B863B7" w:rsidRPr="008A3538" w:rsidRDefault="00B863B7" w:rsidP="00CE171F">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1D600517" w14:textId="77777777" w:rsidR="00B863B7" w:rsidRPr="008A3538" w:rsidRDefault="00B863B7" w:rsidP="00CE171F">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07B0134F" w14:textId="77777777" w:rsidR="00B863B7" w:rsidRPr="008A3538" w:rsidRDefault="00B863B7" w:rsidP="00CE171F">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08E169E9" w14:textId="77777777" w:rsidR="00B863B7" w:rsidRPr="008A3538" w:rsidRDefault="00B863B7" w:rsidP="00CE171F">
            <w:pPr>
              <w:autoSpaceDN/>
              <w:spacing w:line="240" w:lineRule="auto"/>
              <w:textAlignment w:val="auto"/>
              <w:rPr>
                <w:rFonts w:ascii="Times New Roman" w:eastAsia="Times New Roman" w:hAnsi="Times New Roman" w:cs="Times New Roman"/>
                <w:color w:val="auto"/>
                <w:sz w:val="20"/>
                <w:szCs w:val="20"/>
              </w:rPr>
            </w:pPr>
          </w:p>
        </w:tc>
        <w:tc>
          <w:tcPr>
            <w:tcW w:w="640" w:type="dxa"/>
            <w:tcBorders>
              <w:top w:val="nil"/>
              <w:left w:val="nil"/>
              <w:bottom w:val="nil"/>
              <w:right w:val="nil"/>
            </w:tcBorders>
            <w:shd w:val="clear" w:color="auto" w:fill="auto"/>
            <w:noWrap/>
            <w:vAlign w:val="bottom"/>
            <w:hideMark/>
          </w:tcPr>
          <w:p w14:paraId="4AA8C990" w14:textId="77777777" w:rsidR="00B863B7" w:rsidRPr="008A3538" w:rsidRDefault="00B863B7" w:rsidP="00CE171F">
            <w:pPr>
              <w:autoSpaceDN/>
              <w:spacing w:line="240" w:lineRule="auto"/>
              <w:textAlignment w:val="auto"/>
              <w:rPr>
                <w:rFonts w:ascii="Times New Roman" w:eastAsia="Times New Roman" w:hAnsi="Times New Roman" w:cs="Times New Roman"/>
                <w:color w:val="auto"/>
                <w:sz w:val="20"/>
                <w:szCs w:val="20"/>
              </w:rPr>
            </w:pPr>
          </w:p>
        </w:tc>
      </w:tr>
      <w:tr w:rsidR="00B863B7" w:rsidRPr="008A3538" w14:paraId="5D71724B" w14:textId="77777777" w:rsidTr="00CE171F">
        <w:trPr>
          <w:trHeight w:val="476"/>
        </w:trPr>
        <w:tc>
          <w:tcPr>
            <w:tcW w:w="33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472C35D0" w14:textId="77777777" w:rsidR="00B863B7" w:rsidRPr="008A3538" w:rsidRDefault="00B863B7" w:rsidP="00CE171F">
            <w:pPr>
              <w:autoSpaceDN/>
              <w:spacing w:line="240" w:lineRule="auto"/>
              <w:textAlignment w:val="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Adviescollege WOO</w:t>
            </w:r>
            <w:r w:rsidRPr="008A3538">
              <w:rPr>
                <w:rFonts w:ascii="Calibri Light" w:eastAsia="Times New Roman" w:hAnsi="Calibri Light" w:cs="Calibri Light"/>
                <w:b/>
                <w:bCs/>
                <w:color w:val="auto"/>
                <w:sz w:val="20"/>
                <w:szCs w:val="20"/>
              </w:rPr>
              <w:t xml:space="preserve"> (bedragen in € x 1 mln.)</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061934A6" w14:textId="77777777" w:rsidR="00B863B7" w:rsidRPr="008A3538" w:rsidRDefault="00B863B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10056DBE" w14:textId="77777777" w:rsidR="00B863B7" w:rsidRPr="008A3538" w:rsidRDefault="00B863B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3B4FD6A9" w14:textId="77777777" w:rsidR="00B863B7" w:rsidRPr="008A3538" w:rsidRDefault="00B863B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00EAD38F" w14:textId="77777777" w:rsidR="00B863B7" w:rsidRPr="008A3538" w:rsidRDefault="00B863B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2024</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4BC2D756" w14:textId="77777777" w:rsidR="00B863B7" w:rsidRPr="008A3538" w:rsidRDefault="00B863B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2025</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0CCBD58A" w14:textId="77777777" w:rsidR="00B863B7" w:rsidRPr="008A3538" w:rsidRDefault="00B863B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000000" w:fill="9BC2E6"/>
            <w:vAlign w:val="center"/>
            <w:hideMark/>
          </w:tcPr>
          <w:p w14:paraId="02CBBF2A" w14:textId="77777777" w:rsidR="00B863B7" w:rsidRPr="008A3538" w:rsidRDefault="00B863B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Totaal</w:t>
            </w:r>
          </w:p>
        </w:tc>
      </w:tr>
      <w:tr w:rsidR="00B863B7" w:rsidRPr="008A3538" w14:paraId="7BC3694C" w14:textId="77777777" w:rsidTr="00CE171F">
        <w:trPr>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643A7E63" w14:textId="77777777" w:rsidR="00B863B7" w:rsidRPr="008A3538" w:rsidRDefault="00B863B7" w:rsidP="00CE171F">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Adviescollege</w:t>
            </w:r>
          </w:p>
        </w:tc>
        <w:tc>
          <w:tcPr>
            <w:tcW w:w="617" w:type="dxa"/>
            <w:tcBorders>
              <w:top w:val="nil"/>
              <w:left w:val="nil"/>
              <w:bottom w:val="single" w:sz="4" w:space="0" w:color="auto"/>
              <w:right w:val="single" w:sz="4" w:space="0" w:color="auto"/>
            </w:tcBorders>
            <w:shd w:val="clear" w:color="auto" w:fill="auto"/>
            <w:noWrap/>
            <w:vAlign w:val="bottom"/>
            <w:hideMark/>
          </w:tcPr>
          <w:p w14:paraId="330F9653"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auto" w:fill="auto"/>
            <w:noWrap/>
            <w:vAlign w:val="bottom"/>
            <w:hideMark/>
          </w:tcPr>
          <w:p w14:paraId="7806B961"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auto" w:fill="auto"/>
            <w:noWrap/>
            <w:vAlign w:val="bottom"/>
            <w:hideMark/>
          </w:tcPr>
          <w:p w14:paraId="3502A62A"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auto" w:fill="auto"/>
            <w:noWrap/>
            <w:vAlign w:val="bottom"/>
            <w:hideMark/>
          </w:tcPr>
          <w:p w14:paraId="41AD70B3"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auto" w:fill="auto"/>
            <w:noWrap/>
            <w:vAlign w:val="bottom"/>
            <w:hideMark/>
          </w:tcPr>
          <w:p w14:paraId="35C95BE5"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auto" w:fill="auto"/>
            <w:noWrap/>
            <w:vAlign w:val="bottom"/>
            <w:hideMark/>
          </w:tcPr>
          <w:p w14:paraId="08D72401"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40" w:type="dxa"/>
            <w:tcBorders>
              <w:top w:val="nil"/>
              <w:left w:val="nil"/>
              <w:bottom w:val="single" w:sz="4" w:space="0" w:color="auto"/>
              <w:right w:val="single" w:sz="4" w:space="0" w:color="auto"/>
            </w:tcBorders>
            <w:shd w:val="clear" w:color="auto" w:fill="auto"/>
            <w:noWrap/>
            <w:vAlign w:val="bottom"/>
            <w:hideMark/>
          </w:tcPr>
          <w:p w14:paraId="408CFC9A" w14:textId="77777777" w:rsidR="00B863B7" w:rsidRPr="008A3538" w:rsidRDefault="00B863B7" w:rsidP="00CE171F">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B863B7" w:rsidRPr="008A3538" w14:paraId="4F6BECA6" w14:textId="77777777" w:rsidTr="00CE171F">
        <w:trPr>
          <w:trHeight w:val="240"/>
        </w:trPr>
        <w:tc>
          <w:tcPr>
            <w:tcW w:w="3330" w:type="dxa"/>
            <w:tcBorders>
              <w:top w:val="nil"/>
              <w:left w:val="single" w:sz="4" w:space="0" w:color="auto"/>
              <w:bottom w:val="single" w:sz="4" w:space="0" w:color="auto"/>
              <w:right w:val="single" w:sz="4" w:space="0" w:color="auto"/>
            </w:tcBorders>
            <w:shd w:val="clear" w:color="000000" w:fill="DDEBF7"/>
            <w:noWrap/>
            <w:vAlign w:val="bottom"/>
            <w:hideMark/>
          </w:tcPr>
          <w:p w14:paraId="12AB8225" w14:textId="77777777" w:rsidR="00B863B7" w:rsidRPr="008A3538" w:rsidRDefault="00B863B7" w:rsidP="00CE171F">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Totaal</w:t>
            </w:r>
          </w:p>
        </w:tc>
        <w:tc>
          <w:tcPr>
            <w:tcW w:w="617" w:type="dxa"/>
            <w:tcBorders>
              <w:top w:val="nil"/>
              <w:left w:val="nil"/>
              <w:bottom w:val="single" w:sz="4" w:space="0" w:color="auto"/>
              <w:right w:val="single" w:sz="4" w:space="0" w:color="auto"/>
            </w:tcBorders>
            <w:shd w:val="clear" w:color="000000" w:fill="DDEBF7"/>
            <w:noWrap/>
            <w:vAlign w:val="bottom"/>
            <w:hideMark/>
          </w:tcPr>
          <w:p w14:paraId="58AC90E5"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000000" w:fill="DDEBF7"/>
            <w:noWrap/>
            <w:vAlign w:val="bottom"/>
            <w:hideMark/>
          </w:tcPr>
          <w:p w14:paraId="6F3F77A8"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000000" w:fill="DDEBF7"/>
            <w:noWrap/>
            <w:vAlign w:val="bottom"/>
            <w:hideMark/>
          </w:tcPr>
          <w:p w14:paraId="70DE5965"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000000" w:fill="DDEBF7"/>
            <w:noWrap/>
            <w:vAlign w:val="bottom"/>
            <w:hideMark/>
          </w:tcPr>
          <w:p w14:paraId="1D187127"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000000" w:fill="DDEBF7"/>
            <w:noWrap/>
            <w:vAlign w:val="bottom"/>
            <w:hideMark/>
          </w:tcPr>
          <w:p w14:paraId="4DB9A994"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17" w:type="dxa"/>
            <w:tcBorders>
              <w:top w:val="nil"/>
              <w:left w:val="nil"/>
              <w:bottom w:val="single" w:sz="4" w:space="0" w:color="auto"/>
              <w:right w:val="single" w:sz="4" w:space="0" w:color="auto"/>
            </w:tcBorders>
            <w:shd w:val="clear" w:color="000000" w:fill="DDEBF7"/>
            <w:noWrap/>
            <w:vAlign w:val="bottom"/>
            <w:hideMark/>
          </w:tcPr>
          <w:p w14:paraId="66AB6662"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3,0</w:t>
            </w:r>
          </w:p>
        </w:tc>
        <w:tc>
          <w:tcPr>
            <w:tcW w:w="640" w:type="dxa"/>
            <w:tcBorders>
              <w:top w:val="nil"/>
              <w:left w:val="nil"/>
              <w:bottom w:val="single" w:sz="4" w:space="0" w:color="auto"/>
              <w:right w:val="single" w:sz="4" w:space="0" w:color="auto"/>
            </w:tcBorders>
            <w:shd w:val="clear" w:color="000000" w:fill="DDEBF7"/>
            <w:noWrap/>
            <w:vAlign w:val="bottom"/>
            <w:hideMark/>
          </w:tcPr>
          <w:p w14:paraId="5883B2B7" w14:textId="77777777" w:rsidR="00B863B7" w:rsidRPr="008A3538" w:rsidRDefault="00B863B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18</w:t>
            </w:r>
          </w:p>
        </w:tc>
      </w:tr>
    </w:tbl>
    <w:p w14:paraId="7A6271CB" w14:textId="77777777" w:rsidR="001B7338" w:rsidRDefault="001B7338" w:rsidP="007F2A09"/>
    <w:p w14:paraId="2DB4829E" w14:textId="77777777" w:rsidR="007F2A09" w:rsidRPr="00762091" w:rsidRDefault="008D3386" w:rsidP="00A51CD4">
      <w:pPr>
        <w:pStyle w:val="Lijstalinea"/>
        <w:numPr>
          <w:ilvl w:val="0"/>
          <w:numId w:val="34"/>
        </w:numPr>
        <w:rPr>
          <w:u w:val="single"/>
        </w:rPr>
      </w:pPr>
      <w:r w:rsidRPr="00762091">
        <w:rPr>
          <w:u w:val="single"/>
        </w:rPr>
        <w:t>Platform open overheidsinformatie (PLOOI)</w:t>
      </w:r>
    </w:p>
    <w:p w14:paraId="0103A345" w14:textId="77777777" w:rsidR="00354746" w:rsidRDefault="0067237B" w:rsidP="007F2A09">
      <w:r w:rsidRPr="0067237B">
        <w:t xml:space="preserve">Het huidige kabinet heeft in het RA aangegeven te hechten aan een open en transparante overheid. Dit moet onder andere ook uitmonden in positieve appreciatie van het initiatiefwetsvoorstel open overheid (hierna: </w:t>
      </w:r>
      <w:proofErr w:type="spellStart"/>
      <w:r w:rsidRPr="0067237B">
        <w:t>Woo</w:t>
      </w:r>
      <w:proofErr w:type="spellEnd"/>
      <w:r w:rsidRPr="0067237B">
        <w:t xml:space="preserve">). Deze wet verplicht overheidsinstellingen tot actieve openbaarmaking. In de tweede Nota van Wijziging bij de Wijzigingswet </w:t>
      </w:r>
      <w:proofErr w:type="spellStart"/>
      <w:r w:rsidRPr="0067237B">
        <w:t>Woo</w:t>
      </w:r>
      <w:proofErr w:type="spellEnd"/>
      <w:r w:rsidRPr="0067237B">
        <w:t xml:space="preserve"> is openbaarmaking via het platform PLOOI verplicht gesteld. De verplichting en versnelling brengen extra kosten met zich mee.</w:t>
      </w:r>
      <w:r w:rsidR="0041689F">
        <w:rPr>
          <w:rStyle w:val="Voetnootmarkering"/>
        </w:rPr>
        <w:footnoteReference w:id="1"/>
      </w:r>
      <w:r w:rsidRPr="0067237B">
        <w:t xml:space="preserve"> De aansluitingsk</w:t>
      </w:r>
      <w:r>
        <w:t xml:space="preserve">osten vanuit de departementen, </w:t>
      </w:r>
      <w:proofErr w:type="spellStart"/>
      <w:r>
        <w:t>Sui</w:t>
      </w:r>
      <w:proofErr w:type="spellEnd"/>
      <w:r>
        <w:t xml:space="preserve"> </w:t>
      </w:r>
      <w:proofErr w:type="spellStart"/>
      <w:r>
        <w:t>G</w:t>
      </w:r>
      <w:r w:rsidRPr="0067237B">
        <w:t>eneris</w:t>
      </w:r>
      <w:proofErr w:type="spellEnd"/>
      <w:r w:rsidRPr="0067237B">
        <w:t xml:space="preserve"> e</w:t>
      </w:r>
      <w:r>
        <w:t>n Hoge Colleges van Staat dienen</w:t>
      </w:r>
      <w:r w:rsidR="00396846">
        <w:t xml:space="preserve"> in de decentrale</w:t>
      </w:r>
      <w:r w:rsidRPr="0067237B">
        <w:t xml:space="preserve"> plannen </w:t>
      </w:r>
      <w:r>
        <w:t xml:space="preserve">te worden </w:t>
      </w:r>
      <w:r w:rsidRPr="0067237B">
        <w:t>opgenomen.</w:t>
      </w:r>
    </w:p>
    <w:p w14:paraId="039B4691" w14:textId="77777777" w:rsidR="0067237B" w:rsidRDefault="0067237B" w:rsidP="007F2A09"/>
    <w:tbl>
      <w:tblPr>
        <w:tblW w:w="7728" w:type="dxa"/>
        <w:tblInd w:w="70" w:type="dxa"/>
        <w:tblCellMar>
          <w:left w:w="70" w:type="dxa"/>
          <w:right w:w="70" w:type="dxa"/>
        </w:tblCellMar>
        <w:tblLook w:val="04A0" w:firstRow="1" w:lastRow="0" w:firstColumn="1" w:lastColumn="0" w:noHBand="0" w:noVBand="1"/>
      </w:tblPr>
      <w:tblGrid>
        <w:gridCol w:w="3261"/>
        <w:gridCol w:w="708"/>
        <w:gridCol w:w="567"/>
        <w:gridCol w:w="567"/>
        <w:gridCol w:w="709"/>
        <w:gridCol w:w="567"/>
        <w:gridCol w:w="709"/>
        <w:gridCol w:w="640"/>
      </w:tblGrid>
      <w:tr w:rsidR="00316F99" w14:paraId="16CFE61F" w14:textId="77777777" w:rsidTr="00316F99">
        <w:trPr>
          <w:trHeight w:val="476"/>
        </w:trPr>
        <w:tc>
          <w:tcPr>
            <w:tcW w:w="3261"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76EEDA80" w14:textId="77777777" w:rsidR="00316F99" w:rsidRDefault="00316F99">
            <w:pPr>
              <w:spacing w:line="240" w:lineRule="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PLOOI  (bedragen in € x 1 mln.)</w:t>
            </w:r>
          </w:p>
        </w:tc>
        <w:tc>
          <w:tcPr>
            <w:tcW w:w="708" w:type="dxa"/>
            <w:tcBorders>
              <w:top w:val="single" w:sz="4" w:space="0" w:color="auto"/>
              <w:left w:val="nil"/>
              <w:bottom w:val="single" w:sz="4" w:space="0" w:color="auto"/>
              <w:right w:val="single" w:sz="4" w:space="0" w:color="auto"/>
            </w:tcBorders>
            <w:shd w:val="clear" w:color="auto" w:fill="9BC2E6"/>
            <w:vAlign w:val="center"/>
            <w:hideMark/>
          </w:tcPr>
          <w:p w14:paraId="4441642F" w14:textId="77777777" w:rsidR="00316F99" w:rsidRDefault="00316F99">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2021</w:t>
            </w:r>
          </w:p>
        </w:tc>
        <w:tc>
          <w:tcPr>
            <w:tcW w:w="567" w:type="dxa"/>
            <w:tcBorders>
              <w:top w:val="single" w:sz="4" w:space="0" w:color="auto"/>
              <w:left w:val="nil"/>
              <w:bottom w:val="single" w:sz="4" w:space="0" w:color="auto"/>
              <w:right w:val="single" w:sz="4" w:space="0" w:color="auto"/>
            </w:tcBorders>
            <w:shd w:val="clear" w:color="auto" w:fill="9BC2E6"/>
            <w:vAlign w:val="center"/>
            <w:hideMark/>
          </w:tcPr>
          <w:p w14:paraId="1BAD2715" w14:textId="77777777" w:rsidR="00316F99" w:rsidRDefault="00316F99">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2022</w:t>
            </w:r>
          </w:p>
        </w:tc>
        <w:tc>
          <w:tcPr>
            <w:tcW w:w="567" w:type="dxa"/>
            <w:tcBorders>
              <w:top w:val="single" w:sz="4" w:space="0" w:color="auto"/>
              <w:left w:val="nil"/>
              <w:bottom w:val="single" w:sz="4" w:space="0" w:color="auto"/>
              <w:right w:val="single" w:sz="4" w:space="0" w:color="auto"/>
            </w:tcBorders>
            <w:shd w:val="clear" w:color="auto" w:fill="9BC2E6"/>
            <w:vAlign w:val="center"/>
            <w:hideMark/>
          </w:tcPr>
          <w:p w14:paraId="5CC11975" w14:textId="77777777" w:rsidR="00316F99" w:rsidRDefault="00316F99">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2023</w:t>
            </w:r>
          </w:p>
        </w:tc>
        <w:tc>
          <w:tcPr>
            <w:tcW w:w="709" w:type="dxa"/>
            <w:tcBorders>
              <w:top w:val="single" w:sz="4" w:space="0" w:color="auto"/>
              <w:left w:val="nil"/>
              <w:bottom w:val="single" w:sz="4" w:space="0" w:color="auto"/>
              <w:right w:val="single" w:sz="4" w:space="0" w:color="auto"/>
            </w:tcBorders>
            <w:shd w:val="clear" w:color="auto" w:fill="9BC2E6"/>
            <w:vAlign w:val="center"/>
            <w:hideMark/>
          </w:tcPr>
          <w:p w14:paraId="76FA8C9F" w14:textId="77777777" w:rsidR="00316F99" w:rsidRDefault="00316F99">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2024</w:t>
            </w:r>
          </w:p>
        </w:tc>
        <w:tc>
          <w:tcPr>
            <w:tcW w:w="567" w:type="dxa"/>
            <w:tcBorders>
              <w:top w:val="single" w:sz="4" w:space="0" w:color="auto"/>
              <w:left w:val="nil"/>
              <w:bottom w:val="single" w:sz="4" w:space="0" w:color="auto"/>
              <w:right w:val="single" w:sz="4" w:space="0" w:color="auto"/>
            </w:tcBorders>
            <w:shd w:val="clear" w:color="auto" w:fill="9BC2E6"/>
            <w:vAlign w:val="center"/>
            <w:hideMark/>
          </w:tcPr>
          <w:p w14:paraId="04F197EA" w14:textId="77777777" w:rsidR="00316F99" w:rsidRDefault="00316F99">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2025</w:t>
            </w:r>
          </w:p>
        </w:tc>
        <w:tc>
          <w:tcPr>
            <w:tcW w:w="709" w:type="dxa"/>
            <w:tcBorders>
              <w:top w:val="single" w:sz="4" w:space="0" w:color="auto"/>
              <w:left w:val="nil"/>
              <w:bottom w:val="single" w:sz="4" w:space="0" w:color="auto"/>
              <w:right w:val="single" w:sz="4" w:space="0" w:color="auto"/>
            </w:tcBorders>
            <w:shd w:val="clear" w:color="auto" w:fill="9BC2E6"/>
            <w:vAlign w:val="center"/>
            <w:hideMark/>
          </w:tcPr>
          <w:p w14:paraId="435DB211" w14:textId="77777777" w:rsidR="00316F99" w:rsidRDefault="00316F99">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auto" w:fill="9BC2E6"/>
            <w:vAlign w:val="center"/>
            <w:hideMark/>
          </w:tcPr>
          <w:p w14:paraId="7C8509A4" w14:textId="77777777" w:rsidR="00316F99" w:rsidRDefault="00316F99">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Totaal</w:t>
            </w:r>
          </w:p>
        </w:tc>
      </w:tr>
      <w:tr w:rsidR="00316F99" w14:paraId="3D5CAF7E" w14:textId="77777777" w:rsidTr="00316F99">
        <w:trPr>
          <w:trHeight w:val="240"/>
        </w:trPr>
        <w:tc>
          <w:tcPr>
            <w:tcW w:w="3261" w:type="dxa"/>
            <w:tcBorders>
              <w:top w:val="nil"/>
              <w:left w:val="single" w:sz="4" w:space="0" w:color="auto"/>
              <w:bottom w:val="single" w:sz="4" w:space="0" w:color="auto"/>
              <w:right w:val="single" w:sz="4" w:space="0" w:color="auto"/>
            </w:tcBorders>
            <w:noWrap/>
            <w:vAlign w:val="bottom"/>
            <w:hideMark/>
          </w:tcPr>
          <w:p w14:paraId="40BBEB62" w14:textId="77777777" w:rsidR="00316F99" w:rsidRDefault="0067237B">
            <w:pPr>
              <w:spacing w:line="240" w:lineRule="auto"/>
              <w:rPr>
                <w:rFonts w:ascii="Calibri Light" w:eastAsia="Times New Roman" w:hAnsi="Calibri Light" w:cs="Calibri Light"/>
                <w:sz w:val="22"/>
                <w:szCs w:val="22"/>
              </w:rPr>
            </w:pPr>
            <w:r>
              <w:rPr>
                <w:rFonts w:ascii="Calibri Light" w:eastAsia="Times New Roman" w:hAnsi="Calibri Light" w:cs="Calibri Light"/>
                <w:sz w:val="22"/>
                <w:szCs w:val="22"/>
              </w:rPr>
              <w:t xml:space="preserve">Programmakosten intensivering techniek </w:t>
            </w:r>
          </w:p>
        </w:tc>
        <w:tc>
          <w:tcPr>
            <w:tcW w:w="708" w:type="dxa"/>
            <w:tcBorders>
              <w:top w:val="nil"/>
              <w:left w:val="nil"/>
              <w:bottom w:val="single" w:sz="4" w:space="0" w:color="auto"/>
              <w:right w:val="single" w:sz="4" w:space="0" w:color="auto"/>
            </w:tcBorders>
            <w:noWrap/>
            <w:vAlign w:val="bottom"/>
            <w:hideMark/>
          </w:tcPr>
          <w:p w14:paraId="0441EA51" w14:textId="77777777" w:rsidR="00316F99"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5.0</w:t>
            </w:r>
          </w:p>
        </w:tc>
        <w:tc>
          <w:tcPr>
            <w:tcW w:w="567" w:type="dxa"/>
            <w:tcBorders>
              <w:top w:val="nil"/>
              <w:left w:val="nil"/>
              <w:bottom w:val="single" w:sz="4" w:space="0" w:color="auto"/>
              <w:right w:val="single" w:sz="4" w:space="0" w:color="auto"/>
            </w:tcBorders>
            <w:noWrap/>
            <w:vAlign w:val="bottom"/>
            <w:hideMark/>
          </w:tcPr>
          <w:p w14:paraId="6FC6E57D" w14:textId="77777777" w:rsidR="00316F99"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4.7</w:t>
            </w:r>
          </w:p>
        </w:tc>
        <w:tc>
          <w:tcPr>
            <w:tcW w:w="567" w:type="dxa"/>
            <w:tcBorders>
              <w:top w:val="nil"/>
              <w:left w:val="nil"/>
              <w:bottom w:val="single" w:sz="4" w:space="0" w:color="auto"/>
              <w:right w:val="single" w:sz="4" w:space="0" w:color="auto"/>
            </w:tcBorders>
            <w:noWrap/>
            <w:vAlign w:val="bottom"/>
            <w:hideMark/>
          </w:tcPr>
          <w:p w14:paraId="3C5ED1DD" w14:textId="77777777" w:rsidR="00316F99"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4.4</w:t>
            </w:r>
          </w:p>
        </w:tc>
        <w:tc>
          <w:tcPr>
            <w:tcW w:w="709" w:type="dxa"/>
            <w:tcBorders>
              <w:top w:val="nil"/>
              <w:left w:val="nil"/>
              <w:bottom w:val="single" w:sz="4" w:space="0" w:color="auto"/>
              <w:right w:val="single" w:sz="4" w:space="0" w:color="auto"/>
            </w:tcBorders>
            <w:noWrap/>
            <w:vAlign w:val="bottom"/>
            <w:hideMark/>
          </w:tcPr>
          <w:p w14:paraId="1CA5E307" w14:textId="77777777" w:rsidR="00316F99"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1.1</w:t>
            </w:r>
          </w:p>
        </w:tc>
        <w:tc>
          <w:tcPr>
            <w:tcW w:w="567" w:type="dxa"/>
            <w:tcBorders>
              <w:top w:val="nil"/>
              <w:left w:val="nil"/>
              <w:bottom w:val="single" w:sz="4" w:space="0" w:color="auto"/>
              <w:right w:val="single" w:sz="4" w:space="0" w:color="auto"/>
            </w:tcBorders>
            <w:noWrap/>
            <w:vAlign w:val="bottom"/>
            <w:hideMark/>
          </w:tcPr>
          <w:p w14:paraId="230351EC" w14:textId="77777777" w:rsidR="00316F99" w:rsidRDefault="00316F99">
            <w:pPr>
              <w:spacing w:line="240" w:lineRule="auto"/>
              <w:jc w:val="center"/>
              <w:rPr>
                <w:rFonts w:ascii="Calibri Light" w:eastAsia="Times New Roman" w:hAnsi="Calibri Light" w:cs="Calibri Light"/>
                <w:sz w:val="22"/>
                <w:szCs w:val="22"/>
              </w:rPr>
            </w:pPr>
          </w:p>
        </w:tc>
        <w:tc>
          <w:tcPr>
            <w:tcW w:w="709" w:type="dxa"/>
            <w:tcBorders>
              <w:top w:val="nil"/>
              <w:left w:val="nil"/>
              <w:bottom w:val="single" w:sz="4" w:space="0" w:color="auto"/>
              <w:right w:val="single" w:sz="4" w:space="0" w:color="auto"/>
            </w:tcBorders>
            <w:noWrap/>
            <w:vAlign w:val="bottom"/>
            <w:hideMark/>
          </w:tcPr>
          <w:p w14:paraId="516A7E0F" w14:textId="77777777" w:rsidR="00316F99" w:rsidRDefault="00316F99">
            <w:pPr>
              <w:spacing w:line="240" w:lineRule="auto"/>
              <w:jc w:val="center"/>
              <w:rPr>
                <w:rFonts w:ascii="Calibri Light" w:eastAsia="Times New Roman" w:hAnsi="Calibri Light" w:cs="Calibri Light"/>
                <w:sz w:val="22"/>
                <w:szCs w:val="22"/>
              </w:rPr>
            </w:pPr>
          </w:p>
        </w:tc>
        <w:tc>
          <w:tcPr>
            <w:tcW w:w="640" w:type="dxa"/>
            <w:tcBorders>
              <w:top w:val="nil"/>
              <w:left w:val="nil"/>
              <w:bottom w:val="single" w:sz="4" w:space="0" w:color="auto"/>
              <w:right w:val="single" w:sz="4" w:space="0" w:color="auto"/>
            </w:tcBorders>
            <w:noWrap/>
            <w:vAlign w:val="bottom"/>
            <w:hideMark/>
          </w:tcPr>
          <w:p w14:paraId="7D72EF8B" w14:textId="77777777" w:rsidR="00316F99" w:rsidRDefault="0067237B">
            <w:pPr>
              <w:spacing w:line="240" w:lineRule="auto"/>
              <w:jc w:val="center"/>
              <w:rPr>
                <w:rFonts w:ascii="Calibri Light" w:eastAsia="Times New Roman" w:hAnsi="Calibri Light" w:cs="Calibri Light"/>
                <w:iCs/>
                <w:sz w:val="22"/>
                <w:szCs w:val="22"/>
              </w:rPr>
            </w:pPr>
            <w:r>
              <w:rPr>
                <w:rFonts w:ascii="Calibri Light" w:eastAsia="Times New Roman" w:hAnsi="Calibri Light" w:cs="Calibri Light"/>
                <w:iCs/>
                <w:sz w:val="22"/>
                <w:szCs w:val="22"/>
              </w:rPr>
              <w:t>15.2</w:t>
            </w:r>
          </w:p>
        </w:tc>
      </w:tr>
      <w:tr w:rsidR="00316F99" w14:paraId="278A5644" w14:textId="77777777" w:rsidTr="00316F99">
        <w:trPr>
          <w:trHeight w:val="240"/>
        </w:trPr>
        <w:tc>
          <w:tcPr>
            <w:tcW w:w="3261" w:type="dxa"/>
            <w:tcBorders>
              <w:top w:val="nil"/>
              <w:left w:val="single" w:sz="4" w:space="0" w:color="auto"/>
              <w:bottom w:val="single" w:sz="4" w:space="0" w:color="auto"/>
              <w:right w:val="single" w:sz="4" w:space="0" w:color="auto"/>
            </w:tcBorders>
            <w:noWrap/>
            <w:vAlign w:val="bottom"/>
            <w:hideMark/>
          </w:tcPr>
          <w:p w14:paraId="27C54253" w14:textId="77777777" w:rsidR="00316F99" w:rsidRDefault="0067237B">
            <w:pPr>
              <w:spacing w:line="240" w:lineRule="auto"/>
              <w:rPr>
                <w:rFonts w:ascii="Calibri Light" w:eastAsia="Times New Roman" w:hAnsi="Calibri Light" w:cs="Calibri Light"/>
                <w:sz w:val="22"/>
                <w:szCs w:val="22"/>
              </w:rPr>
            </w:pPr>
            <w:r>
              <w:rPr>
                <w:rFonts w:ascii="Calibri Light" w:eastAsia="Times New Roman" w:hAnsi="Calibri Light" w:cs="Calibri Light"/>
                <w:sz w:val="22"/>
                <w:szCs w:val="22"/>
              </w:rPr>
              <w:t>Programmakosten versnelling</w:t>
            </w:r>
          </w:p>
        </w:tc>
        <w:tc>
          <w:tcPr>
            <w:tcW w:w="708" w:type="dxa"/>
            <w:tcBorders>
              <w:top w:val="nil"/>
              <w:left w:val="nil"/>
              <w:bottom w:val="single" w:sz="4" w:space="0" w:color="auto"/>
              <w:right w:val="single" w:sz="4" w:space="0" w:color="auto"/>
            </w:tcBorders>
            <w:noWrap/>
            <w:vAlign w:val="bottom"/>
            <w:hideMark/>
          </w:tcPr>
          <w:p w14:paraId="558E43EA" w14:textId="77777777" w:rsidR="00316F99"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1.6</w:t>
            </w:r>
          </w:p>
        </w:tc>
        <w:tc>
          <w:tcPr>
            <w:tcW w:w="567" w:type="dxa"/>
            <w:tcBorders>
              <w:top w:val="nil"/>
              <w:left w:val="nil"/>
              <w:bottom w:val="single" w:sz="4" w:space="0" w:color="auto"/>
              <w:right w:val="single" w:sz="4" w:space="0" w:color="auto"/>
            </w:tcBorders>
            <w:noWrap/>
            <w:vAlign w:val="bottom"/>
            <w:hideMark/>
          </w:tcPr>
          <w:p w14:paraId="4DD05913" w14:textId="77777777" w:rsidR="00316F99" w:rsidRDefault="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 xml:space="preserve">   2.1</w:t>
            </w:r>
          </w:p>
        </w:tc>
        <w:tc>
          <w:tcPr>
            <w:tcW w:w="567" w:type="dxa"/>
            <w:tcBorders>
              <w:top w:val="nil"/>
              <w:left w:val="nil"/>
              <w:bottom w:val="single" w:sz="4" w:space="0" w:color="auto"/>
              <w:right w:val="single" w:sz="4" w:space="0" w:color="auto"/>
            </w:tcBorders>
            <w:noWrap/>
            <w:vAlign w:val="bottom"/>
            <w:hideMark/>
          </w:tcPr>
          <w:p w14:paraId="4CF60B6A" w14:textId="77777777" w:rsidR="00316F99" w:rsidRDefault="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 xml:space="preserve">   1.7</w:t>
            </w:r>
          </w:p>
        </w:tc>
        <w:tc>
          <w:tcPr>
            <w:tcW w:w="709" w:type="dxa"/>
            <w:tcBorders>
              <w:top w:val="nil"/>
              <w:left w:val="nil"/>
              <w:bottom w:val="single" w:sz="4" w:space="0" w:color="auto"/>
              <w:right w:val="single" w:sz="4" w:space="0" w:color="auto"/>
            </w:tcBorders>
            <w:noWrap/>
            <w:vAlign w:val="bottom"/>
            <w:hideMark/>
          </w:tcPr>
          <w:p w14:paraId="1620AF5C" w14:textId="77777777" w:rsidR="00316F99"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0.1</w:t>
            </w:r>
          </w:p>
        </w:tc>
        <w:tc>
          <w:tcPr>
            <w:tcW w:w="567" w:type="dxa"/>
            <w:tcBorders>
              <w:top w:val="nil"/>
              <w:left w:val="nil"/>
              <w:bottom w:val="single" w:sz="4" w:space="0" w:color="auto"/>
              <w:right w:val="single" w:sz="4" w:space="0" w:color="auto"/>
            </w:tcBorders>
            <w:noWrap/>
            <w:vAlign w:val="bottom"/>
            <w:hideMark/>
          </w:tcPr>
          <w:p w14:paraId="7EF42BB1" w14:textId="77777777" w:rsidR="00316F99" w:rsidRDefault="00316F99">
            <w:pPr>
              <w:spacing w:line="240" w:lineRule="auto"/>
              <w:jc w:val="center"/>
              <w:rPr>
                <w:rFonts w:ascii="Calibri Light" w:eastAsia="Times New Roman" w:hAnsi="Calibri Light" w:cs="Calibri Light"/>
                <w:sz w:val="22"/>
                <w:szCs w:val="22"/>
              </w:rPr>
            </w:pPr>
          </w:p>
        </w:tc>
        <w:tc>
          <w:tcPr>
            <w:tcW w:w="709" w:type="dxa"/>
            <w:tcBorders>
              <w:top w:val="nil"/>
              <w:left w:val="nil"/>
              <w:bottom w:val="single" w:sz="4" w:space="0" w:color="auto"/>
              <w:right w:val="single" w:sz="4" w:space="0" w:color="auto"/>
            </w:tcBorders>
            <w:noWrap/>
            <w:vAlign w:val="bottom"/>
            <w:hideMark/>
          </w:tcPr>
          <w:p w14:paraId="783D2C3E" w14:textId="77777777" w:rsidR="00316F99" w:rsidRDefault="00316F99">
            <w:pPr>
              <w:spacing w:line="240" w:lineRule="auto"/>
              <w:jc w:val="center"/>
              <w:rPr>
                <w:rFonts w:ascii="Calibri Light" w:eastAsia="Times New Roman" w:hAnsi="Calibri Light" w:cs="Calibri Light"/>
                <w:sz w:val="22"/>
                <w:szCs w:val="22"/>
              </w:rPr>
            </w:pPr>
          </w:p>
        </w:tc>
        <w:tc>
          <w:tcPr>
            <w:tcW w:w="640" w:type="dxa"/>
            <w:tcBorders>
              <w:top w:val="nil"/>
              <w:left w:val="nil"/>
              <w:bottom w:val="single" w:sz="4" w:space="0" w:color="auto"/>
              <w:right w:val="single" w:sz="4" w:space="0" w:color="auto"/>
            </w:tcBorders>
            <w:noWrap/>
            <w:vAlign w:val="bottom"/>
            <w:hideMark/>
          </w:tcPr>
          <w:p w14:paraId="5DD74BF8" w14:textId="77777777" w:rsidR="00316F99" w:rsidRDefault="0067237B">
            <w:pPr>
              <w:spacing w:line="240" w:lineRule="auto"/>
              <w:jc w:val="center"/>
              <w:rPr>
                <w:rFonts w:ascii="Calibri Light" w:eastAsia="Times New Roman" w:hAnsi="Calibri Light" w:cs="Calibri Light"/>
                <w:iCs/>
                <w:sz w:val="22"/>
                <w:szCs w:val="22"/>
              </w:rPr>
            </w:pPr>
            <w:r>
              <w:rPr>
                <w:rFonts w:ascii="Calibri Light" w:eastAsia="Times New Roman" w:hAnsi="Calibri Light" w:cs="Calibri Light"/>
                <w:iCs/>
                <w:sz w:val="22"/>
                <w:szCs w:val="22"/>
              </w:rPr>
              <w:t xml:space="preserve">   5.5</w:t>
            </w:r>
          </w:p>
        </w:tc>
      </w:tr>
      <w:tr w:rsidR="0067237B" w14:paraId="6F0987DA" w14:textId="77777777" w:rsidTr="00316F99">
        <w:trPr>
          <w:trHeight w:val="240"/>
        </w:trPr>
        <w:tc>
          <w:tcPr>
            <w:tcW w:w="3261" w:type="dxa"/>
            <w:tcBorders>
              <w:top w:val="nil"/>
              <w:left w:val="single" w:sz="4" w:space="0" w:color="auto"/>
              <w:bottom w:val="single" w:sz="4" w:space="0" w:color="auto"/>
              <w:right w:val="single" w:sz="4" w:space="0" w:color="auto"/>
            </w:tcBorders>
            <w:noWrap/>
            <w:vAlign w:val="bottom"/>
          </w:tcPr>
          <w:p w14:paraId="011C3B22" w14:textId="77777777" w:rsidR="0067237B" w:rsidRDefault="0067237B">
            <w:pPr>
              <w:spacing w:line="240" w:lineRule="auto"/>
              <w:rPr>
                <w:rFonts w:ascii="Calibri Light" w:eastAsia="Times New Roman" w:hAnsi="Calibri Light" w:cs="Calibri Light"/>
                <w:sz w:val="22"/>
                <w:szCs w:val="22"/>
              </w:rPr>
            </w:pPr>
            <w:r>
              <w:rPr>
                <w:rFonts w:ascii="Calibri Light" w:eastAsia="Times New Roman" w:hAnsi="Calibri Light" w:cs="Calibri Light"/>
                <w:sz w:val="22"/>
                <w:szCs w:val="22"/>
              </w:rPr>
              <w:t>Beheerlasten intensivering</w:t>
            </w:r>
          </w:p>
        </w:tc>
        <w:tc>
          <w:tcPr>
            <w:tcW w:w="708" w:type="dxa"/>
            <w:tcBorders>
              <w:top w:val="nil"/>
              <w:left w:val="nil"/>
              <w:bottom w:val="single" w:sz="4" w:space="0" w:color="auto"/>
              <w:right w:val="single" w:sz="4" w:space="0" w:color="auto"/>
            </w:tcBorders>
            <w:noWrap/>
            <w:vAlign w:val="bottom"/>
          </w:tcPr>
          <w:p w14:paraId="33154552" w14:textId="77777777" w:rsidR="0067237B"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0.9</w:t>
            </w:r>
          </w:p>
        </w:tc>
        <w:tc>
          <w:tcPr>
            <w:tcW w:w="567" w:type="dxa"/>
            <w:tcBorders>
              <w:top w:val="nil"/>
              <w:left w:val="nil"/>
              <w:bottom w:val="single" w:sz="4" w:space="0" w:color="auto"/>
              <w:right w:val="single" w:sz="4" w:space="0" w:color="auto"/>
            </w:tcBorders>
            <w:noWrap/>
            <w:vAlign w:val="bottom"/>
          </w:tcPr>
          <w:p w14:paraId="52111695" w14:textId="77777777" w:rsidR="0067237B" w:rsidRDefault="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 xml:space="preserve">   1.9</w:t>
            </w:r>
          </w:p>
        </w:tc>
        <w:tc>
          <w:tcPr>
            <w:tcW w:w="567" w:type="dxa"/>
            <w:tcBorders>
              <w:top w:val="nil"/>
              <w:left w:val="nil"/>
              <w:bottom w:val="single" w:sz="4" w:space="0" w:color="auto"/>
              <w:right w:val="single" w:sz="4" w:space="0" w:color="auto"/>
            </w:tcBorders>
            <w:noWrap/>
            <w:vAlign w:val="bottom"/>
          </w:tcPr>
          <w:p w14:paraId="749C3585" w14:textId="77777777" w:rsidR="0067237B" w:rsidRDefault="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 xml:space="preserve">   3.2</w:t>
            </w:r>
          </w:p>
        </w:tc>
        <w:tc>
          <w:tcPr>
            <w:tcW w:w="709" w:type="dxa"/>
            <w:tcBorders>
              <w:top w:val="nil"/>
              <w:left w:val="nil"/>
              <w:bottom w:val="single" w:sz="4" w:space="0" w:color="auto"/>
              <w:right w:val="single" w:sz="4" w:space="0" w:color="auto"/>
            </w:tcBorders>
            <w:noWrap/>
            <w:vAlign w:val="bottom"/>
          </w:tcPr>
          <w:p w14:paraId="27BE1A51" w14:textId="77777777" w:rsidR="0067237B"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4.9</w:t>
            </w:r>
          </w:p>
        </w:tc>
        <w:tc>
          <w:tcPr>
            <w:tcW w:w="567" w:type="dxa"/>
            <w:tcBorders>
              <w:top w:val="nil"/>
              <w:left w:val="nil"/>
              <w:bottom w:val="single" w:sz="4" w:space="0" w:color="auto"/>
              <w:right w:val="single" w:sz="4" w:space="0" w:color="auto"/>
            </w:tcBorders>
            <w:noWrap/>
            <w:vAlign w:val="bottom"/>
          </w:tcPr>
          <w:p w14:paraId="43045796" w14:textId="77777777" w:rsidR="0067237B" w:rsidRDefault="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4.9</w:t>
            </w:r>
          </w:p>
        </w:tc>
        <w:tc>
          <w:tcPr>
            <w:tcW w:w="709" w:type="dxa"/>
            <w:tcBorders>
              <w:top w:val="nil"/>
              <w:left w:val="nil"/>
              <w:bottom w:val="single" w:sz="4" w:space="0" w:color="auto"/>
              <w:right w:val="single" w:sz="4" w:space="0" w:color="auto"/>
            </w:tcBorders>
            <w:noWrap/>
            <w:vAlign w:val="bottom"/>
          </w:tcPr>
          <w:p w14:paraId="18A0FE3F" w14:textId="77777777" w:rsidR="0067237B" w:rsidRDefault="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4.9</w:t>
            </w:r>
          </w:p>
        </w:tc>
        <w:tc>
          <w:tcPr>
            <w:tcW w:w="640" w:type="dxa"/>
            <w:tcBorders>
              <w:top w:val="nil"/>
              <w:left w:val="nil"/>
              <w:bottom w:val="single" w:sz="4" w:space="0" w:color="auto"/>
              <w:right w:val="single" w:sz="4" w:space="0" w:color="auto"/>
            </w:tcBorders>
            <w:noWrap/>
            <w:vAlign w:val="bottom"/>
          </w:tcPr>
          <w:p w14:paraId="734667D0" w14:textId="77777777" w:rsidR="0067237B" w:rsidRDefault="0067237B">
            <w:pPr>
              <w:spacing w:line="240" w:lineRule="auto"/>
              <w:jc w:val="center"/>
              <w:rPr>
                <w:rFonts w:ascii="Calibri Light" w:eastAsia="Times New Roman" w:hAnsi="Calibri Light" w:cs="Calibri Light"/>
                <w:iCs/>
                <w:sz w:val="22"/>
                <w:szCs w:val="22"/>
              </w:rPr>
            </w:pPr>
            <w:r>
              <w:rPr>
                <w:rFonts w:ascii="Calibri Light" w:eastAsia="Times New Roman" w:hAnsi="Calibri Light" w:cs="Calibri Light"/>
                <w:iCs/>
                <w:sz w:val="22"/>
                <w:szCs w:val="22"/>
              </w:rPr>
              <w:t>20.7</w:t>
            </w:r>
          </w:p>
        </w:tc>
      </w:tr>
      <w:tr w:rsidR="00316F99" w14:paraId="33F10CB2" w14:textId="77777777" w:rsidTr="00316F99">
        <w:trPr>
          <w:trHeight w:val="240"/>
        </w:trPr>
        <w:tc>
          <w:tcPr>
            <w:tcW w:w="3261" w:type="dxa"/>
            <w:tcBorders>
              <w:top w:val="nil"/>
              <w:left w:val="single" w:sz="4" w:space="0" w:color="auto"/>
              <w:bottom w:val="single" w:sz="4" w:space="0" w:color="auto"/>
              <w:right w:val="single" w:sz="4" w:space="0" w:color="auto"/>
            </w:tcBorders>
            <w:shd w:val="clear" w:color="auto" w:fill="DDEBF7"/>
            <w:noWrap/>
            <w:vAlign w:val="bottom"/>
            <w:hideMark/>
          </w:tcPr>
          <w:p w14:paraId="5BADA89C" w14:textId="77777777" w:rsidR="00316F99" w:rsidRDefault="00316F99">
            <w:pPr>
              <w:spacing w:line="240" w:lineRule="auto"/>
              <w:rPr>
                <w:rFonts w:ascii="Calibri Light" w:eastAsia="Times New Roman" w:hAnsi="Calibri Light" w:cs="Calibri Light"/>
                <w:sz w:val="22"/>
                <w:szCs w:val="22"/>
              </w:rPr>
            </w:pPr>
            <w:r>
              <w:rPr>
                <w:rFonts w:ascii="Calibri Light" w:eastAsia="Times New Roman" w:hAnsi="Calibri Light" w:cs="Calibri Light"/>
                <w:sz w:val="22"/>
                <w:szCs w:val="22"/>
              </w:rPr>
              <w:t>Totaal</w:t>
            </w:r>
          </w:p>
        </w:tc>
        <w:tc>
          <w:tcPr>
            <w:tcW w:w="708" w:type="dxa"/>
            <w:tcBorders>
              <w:top w:val="nil"/>
              <w:left w:val="nil"/>
              <w:bottom w:val="single" w:sz="4" w:space="0" w:color="auto"/>
              <w:right w:val="single" w:sz="4" w:space="0" w:color="auto"/>
            </w:tcBorders>
            <w:shd w:val="clear" w:color="auto" w:fill="DDEBF7"/>
            <w:noWrap/>
            <w:vAlign w:val="bottom"/>
            <w:hideMark/>
          </w:tcPr>
          <w:p w14:paraId="302A5099" w14:textId="77777777" w:rsidR="00316F99" w:rsidRDefault="0067237B" w:rsidP="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 xml:space="preserve">     7.5</w:t>
            </w:r>
          </w:p>
        </w:tc>
        <w:tc>
          <w:tcPr>
            <w:tcW w:w="567" w:type="dxa"/>
            <w:tcBorders>
              <w:top w:val="nil"/>
              <w:left w:val="nil"/>
              <w:bottom w:val="single" w:sz="4" w:space="0" w:color="auto"/>
              <w:right w:val="single" w:sz="4" w:space="0" w:color="auto"/>
            </w:tcBorders>
            <w:shd w:val="clear" w:color="auto" w:fill="DDEBF7"/>
            <w:noWrap/>
            <w:vAlign w:val="bottom"/>
            <w:hideMark/>
          </w:tcPr>
          <w:p w14:paraId="6262D4F2" w14:textId="77777777" w:rsidR="00316F99"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8.8</w:t>
            </w:r>
          </w:p>
        </w:tc>
        <w:tc>
          <w:tcPr>
            <w:tcW w:w="567" w:type="dxa"/>
            <w:tcBorders>
              <w:top w:val="nil"/>
              <w:left w:val="nil"/>
              <w:bottom w:val="single" w:sz="4" w:space="0" w:color="auto"/>
              <w:right w:val="single" w:sz="4" w:space="0" w:color="auto"/>
            </w:tcBorders>
            <w:shd w:val="clear" w:color="auto" w:fill="DDEBF7"/>
            <w:noWrap/>
            <w:vAlign w:val="bottom"/>
            <w:hideMark/>
          </w:tcPr>
          <w:p w14:paraId="0490402E" w14:textId="77777777" w:rsidR="00316F99" w:rsidRDefault="0067237B">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9.3</w:t>
            </w:r>
          </w:p>
        </w:tc>
        <w:tc>
          <w:tcPr>
            <w:tcW w:w="709" w:type="dxa"/>
            <w:tcBorders>
              <w:top w:val="nil"/>
              <w:left w:val="nil"/>
              <w:bottom w:val="single" w:sz="4" w:space="0" w:color="auto"/>
              <w:right w:val="single" w:sz="4" w:space="0" w:color="auto"/>
            </w:tcBorders>
            <w:shd w:val="clear" w:color="auto" w:fill="DDEBF7"/>
            <w:noWrap/>
            <w:vAlign w:val="bottom"/>
            <w:hideMark/>
          </w:tcPr>
          <w:p w14:paraId="2CFAC648" w14:textId="77777777" w:rsidR="00316F99" w:rsidRDefault="0067237B" w:rsidP="00316F99">
            <w:pPr>
              <w:spacing w:line="240" w:lineRule="auto"/>
              <w:jc w:val="right"/>
              <w:rPr>
                <w:rFonts w:ascii="Calibri Light" w:eastAsia="Times New Roman" w:hAnsi="Calibri Light" w:cs="Calibri Light"/>
                <w:sz w:val="22"/>
                <w:szCs w:val="22"/>
              </w:rPr>
            </w:pPr>
            <w:r>
              <w:rPr>
                <w:rFonts w:ascii="Calibri Light" w:eastAsia="Times New Roman" w:hAnsi="Calibri Light" w:cs="Calibri Light"/>
                <w:sz w:val="22"/>
                <w:szCs w:val="22"/>
              </w:rPr>
              <w:t>6.1</w:t>
            </w:r>
          </w:p>
        </w:tc>
        <w:tc>
          <w:tcPr>
            <w:tcW w:w="567" w:type="dxa"/>
            <w:tcBorders>
              <w:top w:val="nil"/>
              <w:left w:val="nil"/>
              <w:bottom w:val="single" w:sz="4" w:space="0" w:color="auto"/>
              <w:right w:val="single" w:sz="4" w:space="0" w:color="auto"/>
            </w:tcBorders>
            <w:shd w:val="clear" w:color="auto" w:fill="DDEBF7"/>
            <w:noWrap/>
            <w:vAlign w:val="bottom"/>
            <w:hideMark/>
          </w:tcPr>
          <w:p w14:paraId="2B957A05" w14:textId="77777777" w:rsidR="00316F99" w:rsidRDefault="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4.9</w:t>
            </w:r>
          </w:p>
        </w:tc>
        <w:tc>
          <w:tcPr>
            <w:tcW w:w="709" w:type="dxa"/>
            <w:tcBorders>
              <w:top w:val="nil"/>
              <w:left w:val="nil"/>
              <w:bottom w:val="single" w:sz="4" w:space="0" w:color="auto"/>
              <w:right w:val="single" w:sz="4" w:space="0" w:color="auto"/>
            </w:tcBorders>
            <w:shd w:val="clear" w:color="auto" w:fill="DDEBF7"/>
            <w:noWrap/>
            <w:vAlign w:val="bottom"/>
            <w:hideMark/>
          </w:tcPr>
          <w:p w14:paraId="2076DEB2" w14:textId="77777777" w:rsidR="00316F99" w:rsidRDefault="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4.9</w:t>
            </w:r>
          </w:p>
        </w:tc>
        <w:tc>
          <w:tcPr>
            <w:tcW w:w="640" w:type="dxa"/>
            <w:tcBorders>
              <w:top w:val="nil"/>
              <w:left w:val="nil"/>
              <w:bottom w:val="single" w:sz="4" w:space="0" w:color="auto"/>
              <w:right w:val="single" w:sz="4" w:space="0" w:color="auto"/>
            </w:tcBorders>
            <w:shd w:val="clear" w:color="auto" w:fill="DDEBF7"/>
            <w:noWrap/>
            <w:vAlign w:val="bottom"/>
            <w:hideMark/>
          </w:tcPr>
          <w:p w14:paraId="0B4A1414" w14:textId="77777777" w:rsidR="00316F99" w:rsidRDefault="0067237B">
            <w:pPr>
              <w:spacing w:line="240" w:lineRule="auto"/>
              <w:jc w:val="center"/>
              <w:rPr>
                <w:rFonts w:ascii="Calibri Light" w:eastAsia="Times New Roman" w:hAnsi="Calibri Light" w:cs="Calibri Light"/>
                <w:sz w:val="22"/>
                <w:szCs w:val="22"/>
              </w:rPr>
            </w:pPr>
            <w:r>
              <w:rPr>
                <w:rFonts w:ascii="Calibri Light" w:eastAsia="Times New Roman" w:hAnsi="Calibri Light" w:cs="Calibri Light"/>
                <w:sz w:val="22"/>
                <w:szCs w:val="22"/>
              </w:rPr>
              <w:t>41.4</w:t>
            </w:r>
          </w:p>
        </w:tc>
      </w:tr>
    </w:tbl>
    <w:p w14:paraId="4180E2CE" w14:textId="77777777" w:rsidR="00354746" w:rsidRDefault="00354746" w:rsidP="007F2A09"/>
    <w:p w14:paraId="0889C006" w14:textId="77777777" w:rsidR="00354746" w:rsidRPr="00762091" w:rsidRDefault="00354746" w:rsidP="00A51CD4">
      <w:pPr>
        <w:pStyle w:val="Lijstalinea"/>
        <w:numPr>
          <w:ilvl w:val="0"/>
          <w:numId w:val="34"/>
        </w:numPr>
        <w:rPr>
          <w:u w:val="single"/>
        </w:rPr>
      </w:pPr>
      <w:r w:rsidRPr="00762091">
        <w:rPr>
          <w:u w:val="single"/>
        </w:rPr>
        <w:t>Nationaal Archief</w:t>
      </w:r>
    </w:p>
    <w:p w14:paraId="279848B9" w14:textId="77777777" w:rsidR="000A0F47" w:rsidRDefault="00F36ED9" w:rsidP="007F2A09">
      <w:r w:rsidRPr="00F36ED9">
        <w:t>Het Nationaal Archief draagt bij aan de versterking van de informatievoorziening van het rijk door het opstellen van kennisproducten ten behoeve van archivering van informatie, advisering bij de implementatie daarvan. De intensivering van het Nationaal Archief is gebaseerd op het aantal kennisproducten en instrumenten dat het Nationaal Archief extra kan ontwikkelen en onderhouden, inclusief de implementatieondersteuning en advisering die het Nationaal Archief biedt aan alle ministeries.</w:t>
      </w:r>
    </w:p>
    <w:tbl>
      <w:tblPr>
        <w:tblW w:w="7672" w:type="dxa"/>
        <w:tblInd w:w="70" w:type="dxa"/>
        <w:tblCellMar>
          <w:left w:w="70" w:type="dxa"/>
          <w:right w:w="70" w:type="dxa"/>
        </w:tblCellMar>
        <w:tblLook w:val="04A0" w:firstRow="1" w:lastRow="0" w:firstColumn="1" w:lastColumn="0" w:noHBand="0" w:noVBand="1"/>
      </w:tblPr>
      <w:tblGrid>
        <w:gridCol w:w="3330"/>
        <w:gridCol w:w="617"/>
        <w:gridCol w:w="617"/>
        <w:gridCol w:w="617"/>
        <w:gridCol w:w="617"/>
        <w:gridCol w:w="617"/>
        <w:gridCol w:w="617"/>
        <w:gridCol w:w="640"/>
      </w:tblGrid>
      <w:tr w:rsidR="000A0F47" w:rsidRPr="008A3538" w14:paraId="653258F9" w14:textId="77777777" w:rsidTr="00CE171F">
        <w:trPr>
          <w:trHeight w:val="240"/>
        </w:trPr>
        <w:tc>
          <w:tcPr>
            <w:tcW w:w="3947" w:type="dxa"/>
            <w:gridSpan w:val="2"/>
            <w:tcBorders>
              <w:top w:val="nil"/>
              <w:left w:val="nil"/>
              <w:bottom w:val="nil"/>
              <w:right w:val="nil"/>
            </w:tcBorders>
            <w:shd w:val="clear" w:color="auto" w:fill="auto"/>
            <w:noWrap/>
            <w:vAlign w:val="bottom"/>
            <w:hideMark/>
          </w:tcPr>
          <w:p w14:paraId="182AB0EF" w14:textId="77777777" w:rsidR="000A0F47" w:rsidRPr="008A3538" w:rsidRDefault="000A0F47" w:rsidP="00CE171F">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38D27E7E" w14:textId="77777777" w:rsidR="000A0F47" w:rsidRPr="008A3538" w:rsidRDefault="000A0F47" w:rsidP="00CE171F">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7E4B6E0D" w14:textId="77777777" w:rsidR="000A0F47" w:rsidRPr="008A3538" w:rsidRDefault="000A0F47" w:rsidP="00CE171F">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2EC9F776" w14:textId="77777777" w:rsidR="000A0F47" w:rsidRPr="008A3538" w:rsidRDefault="000A0F47" w:rsidP="00CE171F">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152744C2" w14:textId="77777777" w:rsidR="000A0F47" w:rsidRPr="008A3538" w:rsidRDefault="000A0F47" w:rsidP="00CE171F">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1E85869E" w14:textId="77777777" w:rsidR="000A0F47" w:rsidRPr="008A3538" w:rsidRDefault="000A0F47" w:rsidP="00CE171F">
            <w:pPr>
              <w:autoSpaceDN/>
              <w:spacing w:line="240" w:lineRule="auto"/>
              <w:textAlignment w:val="auto"/>
              <w:rPr>
                <w:rFonts w:ascii="Times New Roman" w:eastAsia="Times New Roman" w:hAnsi="Times New Roman" w:cs="Times New Roman"/>
                <w:color w:val="auto"/>
                <w:sz w:val="20"/>
                <w:szCs w:val="20"/>
              </w:rPr>
            </w:pPr>
          </w:p>
        </w:tc>
        <w:tc>
          <w:tcPr>
            <w:tcW w:w="640" w:type="dxa"/>
            <w:tcBorders>
              <w:top w:val="nil"/>
              <w:left w:val="nil"/>
              <w:bottom w:val="nil"/>
              <w:right w:val="nil"/>
            </w:tcBorders>
            <w:shd w:val="clear" w:color="auto" w:fill="auto"/>
            <w:noWrap/>
            <w:vAlign w:val="bottom"/>
            <w:hideMark/>
          </w:tcPr>
          <w:p w14:paraId="038A2176" w14:textId="77777777" w:rsidR="000A0F47" w:rsidRPr="008A3538" w:rsidRDefault="000A0F47" w:rsidP="00CE171F">
            <w:pPr>
              <w:autoSpaceDN/>
              <w:spacing w:line="240" w:lineRule="auto"/>
              <w:textAlignment w:val="auto"/>
              <w:rPr>
                <w:rFonts w:ascii="Times New Roman" w:eastAsia="Times New Roman" w:hAnsi="Times New Roman" w:cs="Times New Roman"/>
                <w:color w:val="auto"/>
                <w:sz w:val="20"/>
                <w:szCs w:val="20"/>
              </w:rPr>
            </w:pPr>
          </w:p>
        </w:tc>
      </w:tr>
      <w:tr w:rsidR="000A0F47" w:rsidRPr="008A3538" w14:paraId="4B203E3C" w14:textId="77777777" w:rsidTr="00CE171F">
        <w:trPr>
          <w:trHeight w:val="476"/>
        </w:trPr>
        <w:tc>
          <w:tcPr>
            <w:tcW w:w="33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78C2FA2" w14:textId="77777777" w:rsidR="000A0F47" w:rsidRPr="008A3538" w:rsidRDefault="000A0F47" w:rsidP="00CE171F">
            <w:pPr>
              <w:autoSpaceDN/>
              <w:spacing w:line="240" w:lineRule="auto"/>
              <w:textAlignment w:val="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Nationaal Archief</w:t>
            </w:r>
            <w:r w:rsidRPr="008A3538">
              <w:rPr>
                <w:rFonts w:ascii="Calibri Light" w:eastAsia="Times New Roman" w:hAnsi="Calibri Light" w:cs="Calibri Light"/>
                <w:b/>
                <w:bCs/>
                <w:color w:val="auto"/>
                <w:sz w:val="20"/>
                <w:szCs w:val="20"/>
              </w:rPr>
              <w:t xml:space="preserve"> (bedragen in € x 1 mln.)</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380C3843" w14:textId="77777777" w:rsidR="000A0F47" w:rsidRPr="008A3538" w:rsidRDefault="000A0F4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47D73715" w14:textId="77777777" w:rsidR="000A0F47" w:rsidRPr="008A3538" w:rsidRDefault="000A0F4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26690B2E" w14:textId="77777777" w:rsidR="000A0F47" w:rsidRPr="008A3538" w:rsidRDefault="000A0F4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26DEA26E" w14:textId="77777777" w:rsidR="000A0F47" w:rsidRPr="008A3538" w:rsidRDefault="000A0F4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2024</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460A0AB6" w14:textId="77777777" w:rsidR="000A0F47" w:rsidRPr="008A3538" w:rsidRDefault="000A0F4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2025</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0A49BD2A" w14:textId="77777777" w:rsidR="000A0F47" w:rsidRPr="008A3538" w:rsidRDefault="000A0F4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000000" w:fill="9BC2E6"/>
            <w:vAlign w:val="center"/>
            <w:hideMark/>
          </w:tcPr>
          <w:p w14:paraId="49EAADF4" w14:textId="77777777" w:rsidR="000A0F47" w:rsidRPr="008A3538" w:rsidRDefault="000A0F47"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Totaal</w:t>
            </w:r>
          </w:p>
        </w:tc>
      </w:tr>
      <w:tr w:rsidR="000A0F47" w:rsidRPr="008A3538" w14:paraId="23003DD4" w14:textId="77777777" w:rsidTr="00CE171F">
        <w:trPr>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2F006069" w14:textId="77777777" w:rsidR="000A0F47" w:rsidRPr="008A3538" w:rsidRDefault="000A0F47" w:rsidP="00CE171F">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Programmakosten</w:t>
            </w:r>
          </w:p>
        </w:tc>
        <w:tc>
          <w:tcPr>
            <w:tcW w:w="617" w:type="dxa"/>
            <w:tcBorders>
              <w:top w:val="nil"/>
              <w:left w:val="nil"/>
              <w:bottom w:val="single" w:sz="4" w:space="0" w:color="auto"/>
              <w:right w:val="single" w:sz="4" w:space="0" w:color="auto"/>
            </w:tcBorders>
            <w:shd w:val="clear" w:color="auto" w:fill="auto"/>
            <w:noWrap/>
            <w:vAlign w:val="bottom"/>
            <w:hideMark/>
          </w:tcPr>
          <w:p w14:paraId="3C7F631A"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0,5</w:t>
            </w:r>
          </w:p>
        </w:tc>
        <w:tc>
          <w:tcPr>
            <w:tcW w:w="617" w:type="dxa"/>
            <w:tcBorders>
              <w:top w:val="nil"/>
              <w:left w:val="nil"/>
              <w:bottom w:val="single" w:sz="4" w:space="0" w:color="auto"/>
              <w:right w:val="single" w:sz="4" w:space="0" w:color="auto"/>
            </w:tcBorders>
            <w:shd w:val="clear" w:color="auto" w:fill="auto"/>
            <w:noWrap/>
            <w:vAlign w:val="bottom"/>
            <w:hideMark/>
          </w:tcPr>
          <w:p w14:paraId="7E09B6CE"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2,5</w:t>
            </w:r>
          </w:p>
        </w:tc>
        <w:tc>
          <w:tcPr>
            <w:tcW w:w="617" w:type="dxa"/>
            <w:tcBorders>
              <w:top w:val="nil"/>
              <w:left w:val="nil"/>
              <w:bottom w:val="single" w:sz="4" w:space="0" w:color="auto"/>
              <w:right w:val="single" w:sz="4" w:space="0" w:color="auto"/>
            </w:tcBorders>
            <w:shd w:val="clear" w:color="auto" w:fill="auto"/>
            <w:noWrap/>
            <w:vAlign w:val="bottom"/>
            <w:hideMark/>
          </w:tcPr>
          <w:p w14:paraId="55B6FF49"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auto" w:fill="auto"/>
            <w:noWrap/>
            <w:vAlign w:val="bottom"/>
            <w:hideMark/>
          </w:tcPr>
          <w:p w14:paraId="686C767F"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auto" w:fill="auto"/>
            <w:noWrap/>
            <w:vAlign w:val="bottom"/>
            <w:hideMark/>
          </w:tcPr>
          <w:p w14:paraId="240AE451"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auto" w:fill="auto"/>
            <w:noWrap/>
            <w:vAlign w:val="bottom"/>
            <w:hideMark/>
          </w:tcPr>
          <w:p w14:paraId="50E5CCC5"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40" w:type="dxa"/>
            <w:tcBorders>
              <w:top w:val="nil"/>
              <w:left w:val="nil"/>
              <w:bottom w:val="single" w:sz="4" w:space="0" w:color="auto"/>
              <w:right w:val="single" w:sz="4" w:space="0" w:color="auto"/>
            </w:tcBorders>
            <w:shd w:val="clear" w:color="auto" w:fill="auto"/>
            <w:noWrap/>
            <w:vAlign w:val="bottom"/>
            <w:hideMark/>
          </w:tcPr>
          <w:p w14:paraId="1AED7723" w14:textId="77777777" w:rsidR="000A0F47" w:rsidRPr="008A3538" w:rsidRDefault="000A0F47" w:rsidP="00CE171F">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0A0F47" w:rsidRPr="008A3538" w14:paraId="37858EE3" w14:textId="77777777" w:rsidTr="00CE171F">
        <w:trPr>
          <w:trHeight w:val="240"/>
        </w:trPr>
        <w:tc>
          <w:tcPr>
            <w:tcW w:w="3330" w:type="dxa"/>
            <w:tcBorders>
              <w:top w:val="nil"/>
              <w:left w:val="single" w:sz="4" w:space="0" w:color="auto"/>
              <w:bottom w:val="single" w:sz="4" w:space="0" w:color="auto"/>
              <w:right w:val="single" w:sz="4" w:space="0" w:color="auto"/>
            </w:tcBorders>
            <w:shd w:val="clear" w:color="000000" w:fill="DDEBF7"/>
            <w:noWrap/>
            <w:vAlign w:val="bottom"/>
            <w:hideMark/>
          </w:tcPr>
          <w:p w14:paraId="5B50A5C3" w14:textId="77777777" w:rsidR="000A0F47" w:rsidRPr="008A3538" w:rsidRDefault="000A0F47" w:rsidP="00CE171F">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Totaal</w:t>
            </w:r>
          </w:p>
        </w:tc>
        <w:tc>
          <w:tcPr>
            <w:tcW w:w="617" w:type="dxa"/>
            <w:tcBorders>
              <w:top w:val="nil"/>
              <w:left w:val="nil"/>
              <w:bottom w:val="single" w:sz="4" w:space="0" w:color="auto"/>
              <w:right w:val="single" w:sz="4" w:space="0" w:color="auto"/>
            </w:tcBorders>
            <w:shd w:val="clear" w:color="000000" w:fill="DDEBF7"/>
            <w:noWrap/>
            <w:vAlign w:val="bottom"/>
            <w:hideMark/>
          </w:tcPr>
          <w:p w14:paraId="3FF40913"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0,5</w:t>
            </w:r>
          </w:p>
        </w:tc>
        <w:tc>
          <w:tcPr>
            <w:tcW w:w="617" w:type="dxa"/>
            <w:tcBorders>
              <w:top w:val="nil"/>
              <w:left w:val="nil"/>
              <w:bottom w:val="single" w:sz="4" w:space="0" w:color="auto"/>
              <w:right w:val="single" w:sz="4" w:space="0" w:color="auto"/>
            </w:tcBorders>
            <w:shd w:val="clear" w:color="000000" w:fill="DDEBF7"/>
            <w:noWrap/>
            <w:vAlign w:val="bottom"/>
            <w:hideMark/>
          </w:tcPr>
          <w:p w14:paraId="100CF293"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2,5</w:t>
            </w:r>
          </w:p>
        </w:tc>
        <w:tc>
          <w:tcPr>
            <w:tcW w:w="617" w:type="dxa"/>
            <w:tcBorders>
              <w:top w:val="nil"/>
              <w:left w:val="nil"/>
              <w:bottom w:val="single" w:sz="4" w:space="0" w:color="auto"/>
              <w:right w:val="single" w:sz="4" w:space="0" w:color="auto"/>
            </w:tcBorders>
            <w:shd w:val="clear" w:color="000000" w:fill="DDEBF7"/>
            <w:noWrap/>
            <w:vAlign w:val="bottom"/>
            <w:hideMark/>
          </w:tcPr>
          <w:p w14:paraId="5BC2AE9E"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000000" w:fill="DDEBF7"/>
            <w:noWrap/>
            <w:vAlign w:val="bottom"/>
            <w:hideMark/>
          </w:tcPr>
          <w:p w14:paraId="56B1CC99"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000000" w:fill="DDEBF7"/>
            <w:noWrap/>
            <w:vAlign w:val="bottom"/>
            <w:hideMark/>
          </w:tcPr>
          <w:p w14:paraId="7E02E451"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17" w:type="dxa"/>
            <w:tcBorders>
              <w:top w:val="nil"/>
              <w:left w:val="nil"/>
              <w:bottom w:val="single" w:sz="4" w:space="0" w:color="auto"/>
              <w:right w:val="single" w:sz="4" w:space="0" w:color="auto"/>
            </w:tcBorders>
            <w:shd w:val="clear" w:color="000000" w:fill="DDEBF7"/>
            <w:noWrap/>
            <w:vAlign w:val="bottom"/>
            <w:hideMark/>
          </w:tcPr>
          <w:p w14:paraId="4FFDF65B"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3,5</w:t>
            </w:r>
          </w:p>
        </w:tc>
        <w:tc>
          <w:tcPr>
            <w:tcW w:w="640" w:type="dxa"/>
            <w:tcBorders>
              <w:top w:val="nil"/>
              <w:left w:val="nil"/>
              <w:bottom w:val="single" w:sz="4" w:space="0" w:color="auto"/>
              <w:right w:val="single" w:sz="4" w:space="0" w:color="auto"/>
            </w:tcBorders>
            <w:shd w:val="clear" w:color="000000" w:fill="DDEBF7"/>
            <w:noWrap/>
            <w:vAlign w:val="bottom"/>
            <w:hideMark/>
          </w:tcPr>
          <w:p w14:paraId="5CE0CF82" w14:textId="77777777" w:rsidR="000A0F47" w:rsidRPr="008A3538" w:rsidRDefault="000A0F47"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17</w:t>
            </w:r>
          </w:p>
        </w:tc>
      </w:tr>
    </w:tbl>
    <w:p w14:paraId="19C75A15" w14:textId="77777777" w:rsidR="00354746" w:rsidRDefault="00354746" w:rsidP="007F2A09"/>
    <w:p w14:paraId="0FD79346" w14:textId="77777777" w:rsidR="00354746" w:rsidRPr="00762091" w:rsidRDefault="00354746" w:rsidP="00A51CD4">
      <w:pPr>
        <w:pStyle w:val="Lijstalinea"/>
        <w:numPr>
          <w:ilvl w:val="0"/>
          <w:numId w:val="34"/>
        </w:numPr>
        <w:rPr>
          <w:u w:val="single"/>
        </w:rPr>
      </w:pPr>
      <w:r w:rsidRPr="00762091">
        <w:rPr>
          <w:u w:val="single"/>
        </w:rPr>
        <w:lastRenderedPageBreak/>
        <w:t>Inspectie Overheidsinformatie &amp; Erfgoed (O&amp;E)</w:t>
      </w:r>
    </w:p>
    <w:p w14:paraId="5C39AE62" w14:textId="77777777" w:rsidR="00396846" w:rsidRDefault="00F36ED9" w:rsidP="007F2A09">
      <w:r w:rsidRPr="00F36ED9">
        <w:t>Het toezicht op de naleving van de Archiefwet en daarmee op de kwaliteit van de informatiehuishoud</w:t>
      </w:r>
      <w:r>
        <w:t>ing wordt aanzienlijk versterkt</w:t>
      </w:r>
      <w:r w:rsidRPr="00F36ED9">
        <w:t xml:space="preserve"> om zo het bereiken van de doelen van de kabinetsreactie </w:t>
      </w:r>
      <w:r>
        <w:t xml:space="preserve">POK </w:t>
      </w:r>
      <w:r w:rsidRPr="00F36ED9">
        <w:t>te halen.</w:t>
      </w:r>
      <w:r>
        <w:t xml:space="preserve"> Het aantal diepe inspecties binnen de Rijksoverheid zal worden vergroot van 4 naar 12 per jaar. </w:t>
      </w:r>
    </w:p>
    <w:p w14:paraId="2BE3CA28" w14:textId="77777777" w:rsidR="00B863B7" w:rsidRDefault="00F36ED9" w:rsidP="007F2A09">
      <w:r>
        <w:t>Ook zullen alle onderdelen van het Rijk (in totaal 80 zorgdragers) geïnspecteerd worden in de periode t/m 2026 op basis van eigen analyse en inspecties ter plekke.</w:t>
      </w:r>
    </w:p>
    <w:tbl>
      <w:tblPr>
        <w:tblW w:w="7672" w:type="dxa"/>
        <w:tblInd w:w="70" w:type="dxa"/>
        <w:tblCellMar>
          <w:left w:w="70" w:type="dxa"/>
          <w:right w:w="70" w:type="dxa"/>
        </w:tblCellMar>
        <w:tblLook w:val="04A0" w:firstRow="1" w:lastRow="0" w:firstColumn="1" w:lastColumn="0" w:noHBand="0" w:noVBand="1"/>
      </w:tblPr>
      <w:tblGrid>
        <w:gridCol w:w="3330"/>
        <w:gridCol w:w="617"/>
        <w:gridCol w:w="617"/>
        <w:gridCol w:w="617"/>
        <w:gridCol w:w="617"/>
        <w:gridCol w:w="617"/>
        <w:gridCol w:w="617"/>
        <w:gridCol w:w="640"/>
      </w:tblGrid>
      <w:tr w:rsidR="00E240E4" w:rsidRPr="008A3538" w14:paraId="0AFAEB0C" w14:textId="77777777" w:rsidTr="00CE171F">
        <w:trPr>
          <w:trHeight w:val="240"/>
        </w:trPr>
        <w:tc>
          <w:tcPr>
            <w:tcW w:w="3947" w:type="dxa"/>
            <w:gridSpan w:val="2"/>
            <w:tcBorders>
              <w:top w:val="nil"/>
              <w:left w:val="nil"/>
              <w:bottom w:val="nil"/>
              <w:right w:val="nil"/>
            </w:tcBorders>
            <w:shd w:val="clear" w:color="auto" w:fill="auto"/>
            <w:noWrap/>
            <w:vAlign w:val="bottom"/>
            <w:hideMark/>
          </w:tcPr>
          <w:p w14:paraId="5CCF313A" w14:textId="77777777" w:rsidR="00E240E4" w:rsidRPr="008A3538" w:rsidRDefault="00E240E4" w:rsidP="00CE171F">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13A06FF7" w14:textId="77777777" w:rsidR="00E240E4" w:rsidRPr="008A3538" w:rsidRDefault="00E240E4" w:rsidP="00CE171F">
            <w:pPr>
              <w:autoSpaceDN/>
              <w:spacing w:line="240" w:lineRule="auto"/>
              <w:textAlignment w:val="auto"/>
              <w:rPr>
                <w:rFonts w:ascii="Calibri" w:eastAsia="Times New Roman" w:hAnsi="Calibri" w:cs="Calibri"/>
                <w:sz w:val="22"/>
                <w:szCs w:val="22"/>
                <w:u w:val="single"/>
              </w:rPr>
            </w:pPr>
          </w:p>
        </w:tc>
        <w:tc>
          <w:tcPr>
            <w:tcW w:w="617" w:type="dxa"/>
            <w:tcBorders>
              <w:top w:val="nil"/>
              <w:left w:val="nil"/>
              <w:bottom w:val="nil"/>
              <w:right w:val="nil"/>
            </w:tcBorders>
            <w:shd w:val="clear" w:color="auto" w:fill="auto"/>
            <w:noWrap/>
            <w:vAlign w:val="bottom"/>
            <w:hideMark/>
          </w:tcPr>
          <w:p w14:paraId="0CF40DCE" w14:textId="77777777" w:rsidR="00E240E4" w:rsidRPr="008A3538" w:rsidRDefault="00E240E4" w:rsidP="00CE171F">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09C25EB9" w14:textId="77777777" w:rsidR="00E240E4" w:rsidRPr="008A3538" w:rsidRDefault="00E240E4" w:rsidP="00CE171F">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00B88C3E" w14:textId="77777777" w:rsidR="00E240E4" w:rsidRPr="008A3538" w:rsidRDefault="00E240E4" w:rsidP="00CE171F">
            <w:pPr>
              <w:autoSpaceDN/>
              <w:spacing w:line="240" w:lineRule="auto"/>
              <w:textAlignment w:val="auto"/>
              <w:rPr>
                <w:rFonts w:ascii="Times New Roman" w:eastAsia="Times New Roman" w:hAnsi="Times New Roman" w:cs="Times New Roman"/>
                <w:color w:val="auto"/>
                <w:sz w:val="20"/>
                <w:szCs w:val="20"/>
              </w:rPr>
            </w:pPr>
          </w:p>
        </w:tc>
        <w:tc>
          <w:tcPr>
            <w:tcW w:w="617" w:type="dxa"/>
            <w:tcBorders>
              <w:top w:val="nil"/>
              <w:left w:val="nil"/>
              <w:bottom w:val="nil"/>
              <w:right w:val="nil"/>
            </w:tcBorders>
            <w:shd w:val="clear" w:color="auto" w:fill="auto"/>
            <w:noWrap/>
            <w:vAlign w:val="bottom"/>
            <w:hideMark/>
          </w:tcPr>
          <w:p w14:paraId="42E8E05E" w14:textId="77777777" w:rsidR="00E240E4" w:rsidRPr="008A3538" w:rsidRDefault="00E240E4" w:rsidP="00CE171F">
            <w:pPr>
              <w:autoSpaceDN/>
              <w:spacing w:line="240" w:lineRule="auto"/>
              <w:textAlignment w:val="auto"/>
              <w:rPr>
                <w:rFonts w:ascii="Times New Roman" w:eastAsia="Times New Roman" w:hAnsi="Times New Roman" w:cs="Times New Roman"/>
                <w:color w:val="auto"/>
                <w:sz w:val="20"/>
                <w:szCs w:val="20"/>
              </w:rPr>
            </w:pPr>
          </w:p>
        </w:tc>
        <w:tc>
          <w:tcPr>
            <w:tcW w:w="640" w:type="dxa"/>
            <w:tcBorders>
              <w:top w:val="nil"/>
              <w:left w:val="nil"/>
              <w:bottom w:val="nil"/>
              <w:right w:val="nil"/>
            </w:tcBorders>
            <w:shd w:val="clear" w:color="auto" w:fill="auto"/>
            <w:noWrap/>
            <w:vAlign w:val="bottom"/>
            <w:hideMark/>
          </w:tcPr>
          <w:p w14:paraId="7AF458AD" w14:textId="77777777" w:rsidR="00E240E4" w:rsidRPr="008A3538" w:rsidRDefault="00E240E4" w:rsidP="00CE171F">
            <w:pPr>
              <w:autoSpaceDN/>
              <w:spacing w:line="240" w:lineRule="auto"/>
              <w:textAlignment w:val="auto"/>
              <w:rPr>
                <w:rFonts w:ascii="Times New Roman" w:eastAsia="Times New Roman" w:hAnsi="Times New Roman" w:cs="Times New Roman"/>
                <w:color w:val="auto"/>
                <w:sz w:val="20"/>
                <w:szCs w:val="20"/>
              </w:rPr>
            </w:pPr>
          </w:p>
        </w:tc>
      </w:tr>
      <w:tr w:rsidR="00E240E4" w:rsidRPr="008A3538" w14:paraId="5948000E" w14:textId="77777777" w:rsidTr="00CE171F">
        <w:trPr>
          <w:trHeight w:val="476"/>
        </w:trPr>
        <w:tc>
          <w:tcPr>
            <w:tcW w:w="33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5717EB1F" w14:textId="77777777" w:rsidR="00E240E4" w:rsidRPr="008A3538" w:rsidRDefault="00B863B7" w:rsidP="00CE171F">
            <w:pPr>
              <w:autoSpaceDN/>
              <w:spacing w:line="240" w:lineRule="auto"/>
              <w:textAlignment w:val="auto"/>
              <w:rPr>
                <w:rFonts w:ascii="Calibri Light" w:eastAsia="Times New Roman" w:hAnsi="Calibri Light" w:cs="Calibri Light"/>
                <w:b/>
                <w:bCs/>
                <w:color w:val="auto"/>
                <w:sz w:val="20"/>
                <w:szCs w:val="20"/>
              </w:rPr>
            </w:pPr>
            <w:r w:rsidRPr="00B863B7">
              <w:rPr>
                <w:rFonts w:ascii="Calibri Light" w:eastAsia="Times New Roman" w:hAnsi="Calibri Light" w:cs="Calibri Light"/>
                <w:b/>
                <w:bCs/>
                <w:color w:val="auto"/>
                <w:sz w:val="20"/>
                <w:szCs w:val="20"/>
              </w:rPr>
              <w:t xml:space="preserve">Inspectie Overheidsinformatie &amp; Erfgoed </w:t>
            </w:r>
            <w:r w:rsidR="00E240E4" w:rsidRPr="008A3538">
              <w:rPr>
                <w:rFonts w:ascii="Calibri Light" w:eastAsia="Times New Roman" w:hAnsi="Calibri Light" w:cs="Calibri Light"/>
                <w:b/>
                <w:bCs/>
                <w:color w:val="auto"/>
                <w:sz w:val="20"/>
                <w:szCs w:val="20"/>
              </w:rPr>
              <w:t>(bedragen in € x 1 mln.)</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4BA3F434" w14:textId="77777777" w:rsidR="00E240E4" w:rsidRPr="008A3538" w:rsidRDefault="00E240E4"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6BDC56F7" w14:textId="77777777" w:rsidR="00E240E4" w:rsidRPr="008A3538" w:rsidRDefault="00E240E4"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7F012708" w14:textId="77777777" w:rsidR="00E240E4" w:rsidRPr="008A3538" w:rsidRDefault="00E240E4"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6A434DEC" w14:textId="77777777" w:rsidR="00E240E4" w:rsidRPr="008A3538" w:rsidRDefault="00E240E4"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2024</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331145DB" w14:textId="77777777" w:rsidR="00E240E4" w:rsidRPr="008A3538" w:rsidRDefault="00E240E4"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2025</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38B1A459" w14:textId="77777777" w:rsidR="00E240E4" w:rsidRPr="008A3538" w:rsidRDefault="00E240E4"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000000" w:fill="9BC2E6"/>
            <w:vAlign w:val="center"/>
            <w:hideMark/>
          </w:tcPr>
          <w:p w14:paraId="11FAB03E" w14:textId="77777777" w:rsidR="00E240E4" w:rsidRPr="008A3538" w:rsidRDefault="00E240E4" w:rsidP="00CE171F">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Totaal</w:t>
            </w:r>
          </w:p>
        </w:tc>
      </w:tr>
      <w:tr w:rsidR="00E240E4" w:rsidRPr="008A3538" w14:paraId="3FDF4C28" w14:textId="77777777" w:rsidTr="00CE171F">
        <w:trPr>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3A370881" w14:textId="77777777" w:rsidR="00E240E4" w:rsidRPr="008A3538" w:rsidRDefault="00E240E4" w:rsidP="00CE171F">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Programmakosten</w:t>
            </w:r>
          </w:p>
        </w:tc>
        <w:tc>
          <w:tcPr>
            <w:tcW w:w="617" w:type="dxa"/>
            <w:tcBorders>
              <w:top w:val="nil"/>
              <w:left w:val="nil"/>
              <w:bottom w:val="single" w:sz="4" w:space="0" w:color="auto"/>
              <w:right w:val="single" w:sz="4" w:space="0" w:color="auto"/>
            </w:tcBorders>
            <w:shd w:val="clear" w:color="auto" w:fill="auto"/>
            <w:noWrap/>
            <w:vAlign w:val="bottom"/>
            <w:hideMark/>
          </w:tcPr>
          <w:p w14:paraId="6C4E1A85"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6,5</w:t>
            </w:r>
          </w:p>
        </w:tc>
        <w:tc>
          <w:tcPr>
            <w:tcW w:w="617" w:type="dxa"/>
            <w:tcBorders>
              <w:top w:val="nil"/>
              <w:left w:val="nil"/>
              <w:bottom w:val="single" w:sz="4" w:space="0" w:color="auto"/>
              <w:right w:val="single" w:sz="4" w:space="0" w:color="auto"/>
            </w:tcBorders>
            <w:shd w:val="clear" w:color="auto" w:fill="auto"/>
            <w:noWrap/>
            <w:vAlign w:val="bottom"/>
            <w:hideMark/>
          </w:tcPr>
          <w:p w14:paraId="0B5C6278"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auto" w:fill="auto"/>
            <w:noWrap/>
            <w:vAlign w:val="bottom"/>
            <w:hideMark/>
          </w:tcPr>
          <w:p w14:paraId="723A5CB3"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auto" w:fill="auto"/>
            <w:noWrap/>
            <w:vAlign w:val="bottom"/>
            <w:hideMark/>
          </w:tcPr>
          <w:p w14:paraId="44032754"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auto" w:fill="auto"/>
            <w:noWrap/>
            <w:vAlign w:val="bottom"/>
            <w:hideMark/>
          </w:tcPr>
          <w:p w14:paraId="4808955C"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auto" w:fill="auto"/>
            <w:noWrap/>
            <w:vAlign w:val="bottom"/>
            <w:hideMark/>
          </w:tcPr>
          <w:p w14:paraId="0C56CE14"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40" w:type="dxa"/>
            <w:tcBorders>
              <w:top w:val="nil"/>
              <w:left w:val="nil"/>
              <w:bottom w:val="single" w:sz="4" w:space="0" w:color="auto"/>
              <w:right w:val="single" w:sz="4" w:space="0" w:color="auto"/>
            </w:tcBorders>
            <w:shd w:val="clear" w:color="auto" w:fill="auto"/>
            <w:noWrap/>
            <w:vAlign w:val="bottom"/>
            <w:hideMark/>
          </w:tcPr>
          <w:p w14:paraId="792C9F11" w14:textId="77777777" w:rsidR="00E240E4" w:rsidRPr="008A3538" w:rsidRDefault="00E240E4" w:rsidP="00CE171F">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E240E4" w:rsidRPr="008A3538" w14:paraId="3F79F12E" w14:textId="77777777" w:rsidTr="00CE171F">
        <w:trPr>
          <w:trHeight w:val="240"/>
        </w:trPr>
        <w:tc>
          <w:tcPr>
            <w:tcW w:w="3330" w:type="dxa"/>
            <w:tcBorders>
              <w:top w:val="nil"/>
              <w:left w:val="single" w:sz="4" w:space="0" w:color="auto"/>
              <w:bottom w:val="single" w:sz="4" w:space="0" w:color="auto"/>
              <w:right w:val="single" w:sz="4" w:space="0" w:color="auto"/>
            </w:tcBorders>
            <w:shd w:val="clear" w:color="000000" w:fill="DDEBF7"/>
            <w:noWrap/>
            <w:vAlign w:val="bottom"/>
            <w:hideMark/>
          </w:tcPr>
          <w:p w14:paraId="74797378" w14:textId="77777777" w:rsidR="00E240E4" w:rsidRPr="008A3538" w:rsidRDefault="00E240E4" w:rsidP="00CE171F">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Totaal</w:t>
            </w:r>
          </w:p>
        </w:tc>
        <w:tc>
          <w:tcPr>
            <w:tcW w:w="617" w:type="dxa"/>
            <w:tcBorders>
              <w:top w:val="nil"/>
              <w:left w:val="nil"/>
              <w:bottom w:val="single" w:sz="4" w:space="0" w:color="auto"/>
              <w:right w:val="single" w:sz="4" w:space="0" w:color="auto"/>
            </w:tcBorders>
            <w:shd w:val="clear" w:color="000000" w:fill="DDEBF7"/>
            <w:noWrap/>
            <w:vAlign w:val="bottom"/>
            <w:hideMark/>
          </w:tcPr>
          <w:p w14:paraId="724FB3BC"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6,5</w:t>
            </w:r>
          </w:p>
        </w:tc>
        <w:tc>
          <w:tcPr>
            <w:tcW w:w="617" w:type="dxa"/>
            <w:tcBorders>
              <w:top w:val="nil"/>
              <w:left w:val="nil"/>
              <w:bottom w:val="single" w:sz="4" w:space="0" w:color="auto"/>
              <w:right w:val="single" w:sz="4" w:space="0" w:color="auto"/>
            </w:tcBorders>
            <w:shd w:val="clear" w:color="000000" w:fill="DDEBF7"/>
            <w:noWrap/>
            <w:vAlign w:val="bottom"/>
            <w:hideMark/>
          </w:tcPr>
          <w:p w14:paraId="76AF17EC"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000000" w:fill="DDEBF7"/>
            <w:noWrap/>
            <w:vAlign w:val="bottom"/>
            <w:hideMark/>
          </w:tcPr>
          <w:p w14:paraId="3635B6D7"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000000" w:fill="DDEBF7"/>
            <w:noWrap/>
            <w:vAlign w:val="bottom"/>
            <w:hideMark/>
          </w:tcPr>
          <w:p w14:paraId="45B4248E"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000000" w:fill="DDEBF7"/>
            <w:noWrap/>
            <w:vAlign w:val="bottom"/>
            <w:hideMark/>
          </w:tcPr>
          <w:p w14:paraId="2AEB3C3F"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17" w:type="dxa"/>
            <w:tcBorders>
              <w:top w:val="nil"/>
              <w:left w:val="nil"/>
              <w:bottom w:val="single" w:sz="4" w:space="0" w:color="auto"/>
              <w:right w:val="single" w:sz="4" w:space="0" w:color="auto"/>
            </w:tcBorders>
            <w:shd w:val="clear" w:color="000000" w:fill="DDEBF7"/>
            <w:noWrap/>
            <w:vAlign w:val="bottom"/>
            <w:hideMark/>
          </w:tcPr>
          <w:p w14:paraId="1D72FC81"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10</w:t>
            </w:r>
          </w:p>
        </w:tc>
        <w:tc>
          <w:tcPr>
            <w:tcW w:w="640" w:type="dxa"/>
            <w:tcBorders>
              <w:top w:val="nil"/>
              <w:left w:val="nil"/>
              <w:bottom w:val="single" w:sz="4" w:space="0" w:color="auto"/>
              <w:right w:val="single" w:sz="4" w:space="0" w:color="auto"/>
            </w:tcBorders>
            <w:shd w:val="clear" w:color="000000" w:fill="DDEBF7"/>
            <w:noWrap/>
            <w:vAlign w:val="bottom"/>
            <w:hideMark/>
          </w:tcPr>
          <w:p w14:paraId="5F4D9C81" w14:textId="77777777" w:rsidR="00E240E4" w:rsidRPr="008A3538" w:rsidRDefault="00E240E4" w:rsidP="00CE171F">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56,5</w:t>
            </w:r>
          </w:p>
        </w:tc>
      </w:tr>
    </w:tbl>
    <w:p w14:paraId="44265644" w14:textId="77777777" w:rsidR="00354746" w:rsidRDefault="00354746" w:rsidP="007F2A09"/>
    <w:p w14:paraId="0DC83F67" w14:textId="77777777" w:rsidR="00354746" w:rsidRPr="00762091" w:rsidRDefault="00354746" w:rsidP="00A51CD4">
      <w:pPr>
        <w:pStyle w:val="Lijstalinea"/>
        <w:numPr>
          <w:ilvl w:val="0"/>
          <w:numId w:val="34"/>
        </w:numPr>
        <w:rPr>
          <w:u w:val="single"/>
          <w:lang w:val="en-US"/>
        </w:rPr>
      </w:pPr>
      <w:r w:rsidRPr="00762091">
        <w:rPr>
          <w:u w:val="single"/>
          <w:lang w:val="en-US"/>
        </w:rPr>
        <w:t>Data governance</w:t>
      </w:r>
    </w:p>
    <w:p w14:paraId="56351DF2" w14:textId="77777777" w:rsidR="00414098" w:rsidRPr="00CE171F" w:rsidRDefault="00414098" w:rsidP="00CE171F">
      <w:pPr>
        <w:rPr>
          <w:lang w:val="en-US"/>
        </w:rPr>
      </w:pPr>
      <w:r>
        <w:t xml:space="preserve">Voorbereidingen Data </w:t>
      </w:r>
      <w:proofErr w:type="spellStart"/>
      <w:r>
        <w:t>Governance</w:t>
      </w:r>
      <w:proofErr w:type="spellEnd"/>
      <w:r>
        <w:t xml:space="preserve"> Act 2022 en </w:t>
      </w:r>
      <w:proofErr w:type="spellStart"/>
      <w:r>
        <w:t>developer</w:t>
      </w:r>
      <w:proofErr w:type="spellEnd"/>
      <w:r>
        <w:t xml:space="preserve"> portal</w:t>
      </w:r>
    </w:p>
    <w:p w14:paraId="4ECAAA59" w14:textId="77777777" w:rsidR="00414098" w:rsidRDefault="00414098" w:rsidP="00CE171F">
      <w:r>
        <w:t>Het delen van data binnen de Europese Unie moet betrouwbaar en goed beschermd zijn. De Europese Commissie stelt daartoe een nieuwe verordening voor data-</w:t>
      </w:r>
      <w:proofErr w:type="spellStart"/>
      <w:r>
        <w:t>governance</w:t>
      </w:r>
      <w:proofErr w:type="spellEnd"/>
      <w:r>
        <w:t xml:space="preserve"> voor. De zogeheten Data </w:t>
      </w:r>
      <w:proofErr w:type="spellStart"/>
      <w:r>
        <w:t>Governance</w:t>
      </w:r>
      <w:proofErr w:type="spellEnd"/>
      <w:r>
        <w:t xml:space="preserve"> Act (DGA) moet burgers en bedrijven meer controle en vertrouwen geven en een alternatief bieden voor de wijze waarop de grote </w:t>
      </w:r>
      <w:proofErr w:type="spellStart"/>
      <w:r>
        <w:t>tech</w:t>
      </w:r>
      <w:proofErr w:type="spellEnd"/>
      <w:r>
        <w:t>-platformen van buiten de unie met data omgaan. Deze omvat:</w:t>
      </w:r>
    </w:p>
    <w:p w14:paraId="4FF60594" w14:textId="77777777" w:rsidR="00CE171F" w:rsidRDefault="00414098" w:rsidP="00CE171F">
      <w:pPr>
        <w:pStyle w:val="Lijstalinea"/>
        <w:numPr>
          <w:ilvl w:val="0"/>
          <w:numId w:val="44"/>
        </w:numPr>
        <w:textAlignment w:val="auto"/>
      </w:pPr>
      <w:r>
        <w:t>Maatregelen voor meer vertrouwen in datadeling;</w:t>
      </w:r>
    </w:p>
    <w:p w14:paraId="2C40D22A" w14:textId="77777777" w:rsidR="00CE171F" w:rsidRDefault="00414098" w:rsidP="00CE171F">
      <w:pPr>
        <w:pStyle w:val="Lijstalinea"/>
        <w:numPr>
          <w:ilvl w:val="0"/>
          <w:numId w:val="44"/>
        </w:numPr>
        <w:textAlignment w:val="auto"/>
      </w:pPr>
      <w:r>
        <w:t>Nieuwe EU-regels over neutraliteit van data-intermediairs;</w:t>
      </w:r>
    </w:p>
    <w:p w14:paraId="4DCB4F1A" w14:textId="77777777" w:rsidR="00CE171F" w:rsidRDefault="00414098" w:rsidP="00CE171F">
      <w:pPr>
        <w:pStyle w:val="Lijstalinea"/>
        <w:numPr>
          <w:ilvl w:val="0"/>
          <w:numId w:val="44"/>
        </w:numPr>
        <w:textAlignment w:val="auto"/>
      </w:pPr>
      <w:r>
        <w:t>Maatregelen ter vergemakkelijking van het gebruik van bepaalde data in het bezit van de overheid;</w:t>
      </w:r>
    </w:p>
    <w:p w14:paraId="0BA67AFB" w14:textId="77777777" w:rsidR="00414098" w:rsidRDefault="00414098" w:rsidP="00CE171F">
      <w:pPr>
        <w:pStyle w:val="Lijstalinea"/>
        <w:numPr>
          <w:ilvl w:val="0"/>
          <w:numId w:val="44"/>
        </w:numPr>
        <w:textAlignment w:val="auto"/>
      </w:pPr>
      <w:r>
        <w:t>Manieren om Europeanen zeggenschap te geven over het gebruik van door hen gegeneerde data.</w:t>
      </w:r>
    </w:p>
    <w:p w14:paraId="0CC89D31" w14:textId="77777777" w:rsidR="00414098" w:rsidRDefault="00414098" w:rsidP="00414098">
      <w:r>
        <w:t>Projecten die naar aanleiding van de DGA worden gestart</w:t>
      </w:r>
      <w:r w:rsidR="00F873DD">
        <w:t>,</w:t>
      </w:r>
      <w:r>
        <w:t xml:space="preserve"> zijn een Nederlandse vertaling van de DGA en de inzet van het portal Developer.overheid.nl. Dez</w:t>
      </w:r>
      <w:r w:rsidR="00F873DD">
        <w:t>e BZK-</w:t>
      </w:r>
      <w:r>
        <w:t xml:space="preserve">portal wordt de verzamelplaats van alle </w:t>
      </w:r>
      <w:proofErr w:type="spellStart"/>
      <w:r>
        <w:t>API’s</w:t>
      </w:r>
      <w:proofErr w:type="spellEnd"/>
      <w:r>
        <w:t xml:space="preserve"> (Application Programming Interfaces) die door de Nederlandse overheid worden aangeboden. </w:t>
      </w:r>
    </w:p>
    <w:tbl>
      <w:tblPr>
        <w:tblW w:w="7672" w:type="dxa"/>
        <w:tblInd w:w="70" w:type="dxa"/>
        <w:tblCellMar>
          <w:left w:w="70" w:type="dxa"/>
          <w:right w:w="70" w:type="dxa"/>
        </w:tblCellMar>
        <w:tblLook w:val="04A0" w:firstRow="1" w:lastRow="0" w:firstColumn="1" w:lastColumn="0" w:noHBand="0" w:noVBand="1"/>
      </w:tblPr>
      <w:tblGrid>
        <w:gridCol w:w="3330"/>
        <w:gridCol w:w="617"/>
        <w:gridCol w:w="617"/>
        <w:gridCol w:w="617"/>
        <w:gridCol w:w="617"/>
        <w:gridCol w:w="617"/>
        <w:gridCol w:w="617"/>
        <w:gridCol w:w="640"/>
      </w:tblGrid>
      <w:tr w:rsidR="00414098" w14:paraId="52BB2178" w14:textId="77777777" w:rsidTr="00414098">
        <w:trPr>
          <w:trHeight w:val="240"/>
        </w:trPr>
        <w:tc>
          <w:tcPr>
            <w:tcW w:w="3947" w:type="dxa"/>
            <w:gridSpan w:val="2"/>
            <w:noWrap/>
            <w:vAlign w:val="bottom"/>
            <w:hideMark/>
          </w:tcPr>
          <w:p w14:paraId="07432883" w14:textId="77777777" w:rsidR="00414098" w:rsidRDefault="00414098"/>
        </w:tc>
        <w:tc>
          <w:tcPr>
            <w:tcW w:w="617" w:type="dxa"/>
            <w:noWrap/>
            <w:vAlign w:val="bottom"/>
            <w:hideMark/>
          </w:tcPr>
          <w:p w14:paraId="3675D68C" w14:textId="77777777" w:rsidR="00414098" w:rsidRDefault="00414098">
            <w:pPr>
              <w:spacing w:line="240" w:lineRule="auto"/>
              <w:rPr>
                <w:rFonts w:ascii="Times New Roman" w:hAnsi="Times New Roman"/>
                <w:color w:val="auto"/>
                <w:sz w:val="20"/>
                <w:szCs w:val="20"/>
              </w:rPr>
            </w:pPr>
          </w:p>
        </w:tc>
        <w:tc>
          <w:tcPr>
            <w:tcW w:w="617" w:type="dxa"/>
            <w:noWrap/>
            <w:vAlign w:val="bottom"/>
            <w:hideMark/>
          </w:tcPr>
          <w:p w14:paraId="61B49219" w14:textId="77777777" w:rsidR="00414098" w:rsidRDefault="00414098">
            <w:pPr>
              <w:spacing w:line="240" w:lineRule="auto"/>
              <w:rPr>
                <w:rFonts w:ascii="Times New Roman" w:hAnsi="Times New Roman"/>
                <w:color w:val="auto"/>
                <w:sz w:val="20"/>
                <w:szCs w:val="20"/>
              </w:rPr>
            </w:pPr>
          </w:p>
        </w:tc>
        <w:tc>
          <w:tcPr>
            <w:tcW w:w="617" w:type="dxa"/>
            <w:noWrap/>
            <w:vAlign w:val="bottom"/>
            <w:hideMark/>
          </w:tcPr>
          <w:p w14:paraId="6755AFBB" w14:textId="77777777" w:rsidR="00414098" w:rsidRDefault="00414098">
            <w:pPr>
              <w:spacing w:line="240" w:lineRule="auto"/>
              <w:rPr>
                <w:rFonts w:ascii="Times New Roman" w:hAnsi="Times New Roman"/>
                <w:color w:val="auto"/>
                <w:sz w:val="20"/>
                <w:szCs w:val="20"/>
              </w:rPr>
            </w:pPr>
          </w:p>
        </w:tc>
        <w:tc>
          <w:tcPr>
            <w:tcW w:w="617" w:type="dxa"/>
            <w:noWrap/>
            <w:vAlign w:val="bottom"/>
            <w:hideMark/>
          </w:tcPr>
          <w:p w14:paraId="5D43934A" w14:textId="77777777" w:rsidR="00414098" w:rsidRDefault="00414098">
            <w:pPr>
              <w:spacing w:line="240" w:lineRule="auto"/>
              <w:rPr>
                <w:rFonts w:ascii="Times New Roman" w:hAnsi="Times New Roman"/>
                <w:color w:val="auto"/>
                <w:sz w:val="20"/>
                <w:szCs w:val="20"/>
              </w:rPr>
            </w:pPr>
          </w:p>
        </w:tc>
        <w:tc>
          <w:tcPr>
            <w:tcW w:w="617" w:type="dxa"/>
            <w:noWrap/>
            <w:vAlign w:val="bottom"/>
            <w:hideMark/>
          </w:tcPr>
          <w:p w14:paraId="04766F7A" w14:textId="77777777" w:rsidR="00414098" w:rsidRDefault="00414098">
            <w:pPr>
              <w:spacing w:line="240" w:lineRule="auto"/>
              <w:rPr>
                <w:rFonts w:ascii="Times New Roman" w:hAnsi="Times New Roman"/>
                <w:color w:val="auto"/>
                <w:sz w:val="20"/>
                <w:szCs w:val="20"/>
              </w:rPr>
            </w:pPr>
          </w:p>
        </w:tc>
        <w:tc>
          <w:tcPr>
            <w:tcW w:w="640" w:type="dxa"/>
            <w:noWrap/>
            <w:vAlign w:val="bottom"/>
            <w:hideMark/>
          </w:tcPr>
          <w:p w14:paraId="4E9F5CE2" w14:textId="77777777" w:rsidR="00414098" w:rsidRDefault="00414098">
            <w:pPr>
              <w:spacing w:line="240" w:lineRule="auto"/>
              <w:rPr>
                <w:rFonts w:ascii="Times New Roman" w:hAnsi="Times New Roman"/>
                <w:color w:val="auto"/>
                <w:sz w:val="20"/>
                <w:szCs w:val="20"/>
              </w:rPr>
            </w:pPr>
          </w:p>
        </w:tc>
      </w:tr>
      <w:tr w:rsidR="00414098" w14:paraId="3A9B9DAA" w14:textId="77777777" w:rsidTr="00414098">
        <w:trPr>
          <w:trHeight w:val="476"/>
        </w:trPr>
        <w:tc>
          <w:tcPr>
            <w:tcW w:w="3330" w:type="dxa"/>
            <w:tcBorders>
              <w:top w:val="single" w:sz="4" w:space="0" w:color="auto"/>
              <w:left w:val="single" w:sz="4" w:space="0" w:color="auto"/>
              <w:bottom w:val="single" w:sz="4" w:space="0" w:color="auto"/>
              <w:right w:val="single" w:sz="4" w:space="0" w:color="auto"/>
            </w:tcBorders>
            <w:shd w:val="clear" w:color="auto" w:fill="9BC2E6"/>
            <w:vAlign w:val="center"/>
            <w:hideMark/>
          </w:tcPr>
          <w:p w14:paraId="6FFFCA7D" w14:textId="77777777" w:rsidR="00414098" w:rsidRDefault="00414098">
            <w:pPr>
              <w:spacing w:line="240" w:lineRule="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Data (bedragen in € x 1 mln.)</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43080BB4"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26B5E09E"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2A76DA47"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2CA09735"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2024</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27D595AF"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2025</w:t>
            </w:r>
          </w:p>
        </w:tc>
        <w:tc>
          <w:tcPr>
            <w:tcW w:w="617" w:type="dxa"/>
            <w:tcBorders>
              <w:top w:val="single" w:sz="4" w:space="0" w:color="auto"/>
              <w:left w:val="nil"/>
              <w:bottom w:val="single" w:sz="4" w:space="0" w:color="auto"/>
              <w:right w:val="single" w:sz="4" w:space="0" w:color="auto"/>
            </w:tcBorders>
            <w:shd w:val="clear" w:color="auto" w:fill="9BC2E6"/>
            <w:vAlign w:val="center"/>
            <w:hideMark/>
          </w:tcPr>
          <w:p w14:paraId="47DC34B6"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auto" w:fill="9BC2E6"/>
            <w:vAlign w:val="center"/>
            <w:hideMark/>
          </w:tcPr>
          <w:p w14:paraId="65DF17A9" w14:textId="77777777" w:rsidR="00414098" w:rsidRDefault="00414098">
            <w:pPr>
              <w:spacing w:line="240" w:lineRule="auto"/>
              <w:jc w:val="center"/>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t>Totaal</w:t>
            </w:r>
          </w:p>
        </w:tc>
      </w:tr>
      <w:tr w:rsidR="00316F99" w14:paraId="132AAA19" w14:textId="77777777" w:rsidTr="00414098">
        <w:trPr>
          <w:trHeight w:val="240"/>
        </w:trPr>
        <w:tc>
          <w:tcPr>
            <w:tcW w:w="3330" w:type="dxa"/>
            <w:tcBorders>
              <w:top w:val="nil"/>
              <w:left w:val="single" w:sz="4" w:space="0" w:color="auto"/>
              <w:bottom w:val="single" w:sz="4" w:space="0" w:color="auto"/>
              <w:right w:val="single" w:sz="4" w:space="0" w:color="auto"/>
            </w:tcBorders>
            <w:noWrap/>
            <w:vAlign w:val="bottom"/>
            <w:hideMark/>
          </w:tcPr>
          <w:p w14:paraId="7EFC527A" w14:textId="77777777" w:rsidR="00316F99" w:rsidRDefault="000977DC" w:rsidP="00316F99">
            <w:pPr>
              <w:spacing w:line="240" w:lineRule="auto"/>
              <w:rPr>
                <w:rFonts w:ascii="Calibri Light" w:eastAsia="Times New Roman" w:hAnsi="Calibri Light" w:cs="Calibri Light"/>
                <w:sz w:val="20"/>
                <w:szCs w:val="20"/>
              </w:rPr>
            </w:pPr>
            <w:r>
              <w:rPr>
                <w:rFonts w:ascii="Calibri Light" w:eastAsia="Times New Roman" w:hAnsi="Calibri Light" w:cs="Calibri Light"/>
                <w:sz w:val="20"/>
                <w:szCs w:val="20"/>
              </w:rPr>
              <w:t xml:space="preserve">Implementatie </w:t>
            </w:r>
            <w:r w:rsidR="00316F99">
              <w:rPr>
                <w:rFonts w:ascii="Calibri Light" w:eastAsia="Times New Roman" w:hAnsi="Calibri Light" w:cs="Calibri Light"/>
                <w:sz w:val="20"/>
                <w:szCs w:val="20"/>
              </w:rPr>
              <w:t xml:space="preserve">Data </w:t>
            </w:r>
            <w:proofErr w:type="spellStart"/>
            <w:r w:rsidR="00316F99">
              <w:rPr>
                <w:rFonts w:ascii="Calibri Light" w:eastAsia="Times New Roman" w:hAnsi="Calibri Light" w:cs="Calibri Light"/>
                <w:sz w:val="20"/>
                <w:szCs w:val="20"/>
              </w:rPr>
              <w:t>Governance</w:t>
            </w:r>
            <w:proofErr w:type="spellEnd"/>
            <w:r w:rsidR="00316F99">
              <w:rPr>
                <w:rFonts w:ascii="Calibri Light" w:eastAsia="Times New Roman" w:hAnsi="Calibri Light" w:cs="Calibri Light"/>
                <w:sz w:val="20"/>
                <w:szCs w:val="20"/>
              </w:rPr>
              <w:t xml:space="preserve"> Act</w:t>
            </w:r>
          </w:p>
        </w:tc>
        <w:tc>
          <w:tcPr>
            <w:tcW w:w="617" w:type="dxa"/>
            <w:tcBorders>
              <w:top w:val="nil"/>
              <w:left w:val="nil"/>
              <w:bottom w:val="single" w:sz="4" w:space="0" w:color="auto"/>
              <w:right w:val="single" w:sz="4" w:space="0" w:color="auto"/>
            </w:tcBorders>
            <w:noWrap/>
            <w:vAlign w:val="bottom"/>
          </w:tcPr>
          <w:p w14:paraId="30F51CB7" w14:textId="77777777" w:rsidR="00316F99"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noWrap/>
            <w:vAlign w:val="bottom"/>
          </w:tcPr>
          <w:p w14:paraId="465B5ED7" w14:textId="77777777" w:rsidR="00316F99"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noWrap/>
            <w:vAlign w:val="bottom"/>
          </w:tcPr>
          <w:p w14:paraId="3A522716" w14:textId="77777777" w:rsidR="00316F99"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noWrap/>
            <w:vAlign w:val="bottom"/>
          </w:tcPr>
          <w:p w14:paraId="7CB24DAE" w14:textId="77777777" w:rsidR="00316F99"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noWrap/>
            <w:vAlign w:val="bottom"/>
          </w:tcPr>
          <w:p w14:paraId="5F5B127B" w14:textId="77777777" w:rsidR="00316F99" w:rsidRDefault="00F36ED9" w:rsidP="00F36ED9">
            <w:pPr>
              <w:spacing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PM</w:t>
            </w:r>
          </w:p>
        </w:tc>
        <w:tc>
          <w:tcPr>
            <w:tcW w:w="617" w:type="dxa"/>
            <w:tcBorders>
              <w:top w:val="nil"/>
              <w:left w:val="nil"/>
              <w:bottom w:val="single" w:sz="4" w:space="0" w:color="auto"/>
              <w:right w:val="single" w:sz="4" w:space="0" w:color="auto"/>
            </w:tcBorders>
            <w:noWrap/>
            <w:vAlign w:val="bottom"/>
          </w:tcPr>
          <w:p w14:paraId="43E0E5B4" w14:textId="77777777" w:rsidR="00316F99" w:rsidRDefault="00316F99" w:rsidP="00316F99">
            <w:pPr>
              <w:spacing w:line="240" w:lineRule="auto"/>
              <w:jc w:val="right"/>
              <w:rPr>
                <w:rFonts w:ascii="Calibri Light" w:eastAsia="Times New Roman" w:hAnsi="Calibri Light" w:cs="Calibri Light"/>
                <w:sz w:val="20"/>
                <w:szCs w:val="20"/>
              </w:rPr>
            </w:pPr>
          </w:p>
        </w:tc>
        <w:tc>
          <w:tcPr>
            <w:tcW w:w="640" w:type="dxa"/>
            <w:tcBorders>
              <w:top w:val="nil"/>
              <w:left w:val="nil"/>
              <w:bottom w:val="single" w:sz="4" w:space="0" w:color="auto"/>
              <w:right w:val="single" w:sz="4" w:space="0" w:color="auto"/>
            </w:tcBorders>
            <w:noWrap/>
            <w:vAlign w:val="bottom"/>
          </w:tcPr>
          <w:p w14:paraId="25D90F3F" w14:textId="77777777" w:rsidR="00316F99" w:rsidRDefault="00316F99" w:rsidP="00316F99">
            <w:pPr>
              <w:spacing w:line="240" w:lineRule="auto"/>
              <w:rPr>
                <w:rFonts w:ascii="Calibri Light" w:eastAsia="Times New Roman" w:hAnsi="Calibri Light" w:cs="Calibri Light"/>
                <w:i/>
                <w:iCs/>
                <w:sz w:val="20"/>
                <w:szCs w:val="20"/>
              </w:rPr>
            </w:pPr>
          </w:p>
        </w:tc>
      </w:tr>
      <w:tr w:rsidR="000977DC" w14:paraId="142E2404" w14:textId="77777777" w:rsidTr="00414098">
        <w:trPr>
          <w:trHeight w:val="240"/>
        </w:trPr>
        <w:tc>
          <w:tcPr>
            <w:tcW w:w="3330" w:type="dxa"/>
            <w:tcBorders>
              <w:top w:val="nil"/>
              <w:left w:val="single" w:sz="4" w:space="0" w:color="auto"/>
              <w:bottom w:val="single" w:sz="4" w:space="0" w:color="auto"/>
              <w:right w:val="single" w:sz="4" w:space="0" w:color="auto"/>
            </w:tcBorders>
            <w:noWrap/>
            <w:vAlign w:val="bottom"/>
          </w:tcPr>
          <w:p w14:paraId="66CC3C20" w14:textId="77777777" w:rsidR="000977DC" w:rsidRDefault="000977DC" w:rsidP="00316F99">
            <w:pPr>
              <w:spacing w:line="240" w:lineRule="auto"/>
              <w:rPr>
                <w:rFonts w:ascii="Calibri Light" w:eastAsia="Times New Roman" w:hAnsi="Calibri Light" w:cs="Calibri Light"/>
                <w:sz w:val="20"/>
                <w:szCs w:val="20"/>
              </w:rPr>
            </w:pPr>
            <w:r>
              <w:rPr>
                <w:rFonts w:ascii="Calibri Light" w:eastAsia="Times New Roman" w:hAnsi="Calibri Light" w:cs="Calibri Light"/>
                <w:sz w:val="20"/>
                <w:szCs w:val="20"/>
              </w:rPr>
              <w:t>Developer Portaal</w:t>
            </w:r>
          </w:p>
        </w:tc>
        <w:tc>
          <w:tcPr>
            <w:tcW w:w="617" w:type="dxa"/>
            <w:tcBorders>
              <w:top w:val="nil"/>
              <w:left w:val="nil"/>
              <w:bottom w:val="single" w:sz="4" w:space="0" w:color="auto"/>
              <w:right w:val="single" w:sz="4" w:space="0" w:color="auto"/>
            </w:tcBorders>
            <w:noWrap/>
            <w:vAlign w:val="bottom"/>
          </w:tcPr>
          <w:p w14:paraId="442B768F" w14:textId="77777777" w:rsidR="000977DC"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17" w:type="dxa"/>
            <w:tcBorders>
              <w:top w:val="nil"/>
              <w:left w:val="nil"/>
              <w:bottom w:val="single" w:sz="4" w:space="0" w:color="auto"/>
              <w:right w:val="single" w:sz="4" w:space="0" w:color="auto"/>
            </w:tcBorders>
            <w:noWrap/>
            <w:vAlign w:val="bottom"/>
          </w:tcPr>
          <w:p w14:paraId="52702B1B" w14:textId="77777777" w:rsidR="000977DC"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17" w:type="dxa"/>
            <w:tcBorders>
              <w:top w:val="nil"/>
              <w:left w:val="nil"/>
              <w:bottom w:val="single" w:sz="4" w:space="0" w:color="auto"/>
              <w:right w:val="single" w:sz="4" w:space="0" w:color="auto"/>
            </w:tcBorders>
            <w:noWrap/>
            <w:vAlign w:val="bottom"/>
          </w:tcPr>
          <w:p w14:paraId="34329EE0" w14:textId="77777777" w:rsidR="000977DC"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17" w:type="dxa"/>
            <w:tcBorders>
              <w:top w:val="nil"/>
              <w:left w:val="nil"/>
              <w:bottom w:val="single" w:sz="4" w:space="0" w:color="auto"/>
              <w:right w:val="single" w:sz="4" w:space="0" w:color="auto"/>
            </w:tcBorders>
            <w:noWrap/>
            <w:vAlign w:val="bottom"/>
          </w:tcPr>
          <w:p w14:paraId="1505B8B7" w14:textId="77777777" w:rsidR="000977DC"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17" w:type="dxa"/>
            <w:tcBorders>
              <w:top w:val="nil"/>
              <w:left w:val="nil"/>
              <w:bottom w:val="single" w:sz="4" w:space="0" w:color="auto"/>
              <w:right w:val="single" w:sz="4" w:space="0" w:color="auto"/>
            </w:tcBorders>
            <w:noWrap/>
            <w:vAlign w:val="bottom"/>
          </w:tcPr>
          <w:p w14:paraId="178C06F2" w14:textId="77777777" w:rsidR="000977DC"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17" w:type="dxa"/>
            <w:tcBorders>
              <w:top w:val="nil"/>
              <w:left w:val="nil"/>
              <w:bottom w:val="single" w:sz="4" w:space="0" w:color="auto"/>
              <w:right w:val="single" w:sz="4" w:space="0" w:color="auto"/>
            </w:tcBorders>
            <w:noWrap/>
            <w:vAlign w:val="bottom"/>
          </w:tcPr>
          <w:p w14:paraId="71F329CF" w14:textId="77777777" w:rsidR="000977DC"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40" w:type="dxa"/>
            <w:tcBorders>
              <w:top w:val="nil"/>
              <w:left w:val="nil"/>
              <w:bottom w:val="single" w:sz="4" w:space="0" w:color="auto"/>
              <w:right w:val="single" w:sz="4" w:space="0" w:color="auto"/>
            </w:tcBorders>
            <w:noWrap/>
            <w:vAlign w:val="bottom"/>
          </w:tcPr>
          <w:p w14:paraId="1897D75F" w14:textId="77777777" w:rsidR="000977DC" w:rsidRPr="00F36ED9" w:rsidRDefault="00F36ED9" w:rsidP="00316F99">
            <w:pPr>
              <w:spacing w:line="240" w:lineRule="auto"/>
              <w:rPr>
                <w:rFonts w:ascii="Calibri Light" w:eastAsia="Times New Roman" w:hAnsi="Calibri Light" w:cs="Calibri Light"/>
                <w:iCs/>
                <w:sz w:val="20"/>
                <w:szCs w:val="20"/>
              </w:rPr>
            </w:pPr>
            <w:r>
              <w:rPr>
                <w:rFonts w:ascii="Calibri Light" w:eastAsia="Times New Roman" w:hAnsi="Calibri Light" w:cs="Calibri Light"/>
                <w:i/>
                <w:iCs/>
                <w:sz w:val="20"/>
                <w:szCs w:val="20"/>
              </w:rPr>
              <w:t xml:space="preserve"> </w:t>
            </w:r>
            <w:r>
              <w:rPr>
                <w:rFonts w:ascii="Calibri Light" w:eastAsia="Times New Roman" w:hAnsi="Calibri Light" w:cs="Calibri Light"/>
                <w:iCs/>
                <w:sz w:val="20"/>
                <w:szCs w:val="20"/>
              </w:rPr>
              <w:t xml:space="preserve">     12</w:t>
            </w:r>
          </w:p>
        </w:tc>
      </w:tr>
      <w:tr w:rsidR="00316F99" w14:paraId="3A27683D" w14:textId="77777777" w:rsidTr="00414098">
        <w:trPr>
          <w:trHeight w:val="240"/>
        </w:trPr>
        <w:tc>
          <w:tcPr>
            <w:tcW w:w="3330" w:type="dxa"/>
            <w:tcBorders>
              <w:top w:val="nil"/>
              <w:left w:val="single" w:sz="4" w:space="0" w:color="auto"/>
              <w:bottom w:val="single" w:sz="4" w:space="0" w:color="auto"/>
              <w:right w:val="single" w:sz="4" w:space="0" w:color="auto"/>
            </w:tcBorders>
            <w:shd w:val="clear" w:color="auto" w:fill="DDEBF7"/>
            <w:noWrap/>
            <w:vAlign w:val="bottom"/>
            <w:hideMark/>
          </w:tcPr>
          <w:p w14:paraId="49287263" w14:textId="77777777" w:rsidR="00316F99" w:rsidRDefault="00316F99" w:rsidP="00316F99">
            <w:pPr>
              <w:spacing w:line="240" w:lineRule="auto"/>
              <w:rPr>
                <w:rFonts w:ascii="Calibri Light" w:eastAsia="Times New Roman" w:hAnsi="Calibri Light" w:cs="Calibri Light"/>
                <w:sz w:val="20"/>
                <w:szCs w:val="20"/>
              </w:rPr>
            </w:pPr>
            <w:r>
              <w:rPr>
                <w:rFonts w:ascii="Calibri Light" w:eastAsia="Times New Roman" w:hAnsi="Calibri Light" w:cs="Calibri Light"/>
                <w:sz w:val="20"/>
                <w:szCs w:val="20"/>
              </w:rPr>
              <w:t>Totaal</w:t>
            </w:r>
          </w:p>
        </w:tc>
        <w:tc>
          <w:tcPr>
            <w:tcW w:w="617" w:type="dxa"/>
            <w:tcBorders>
              <w:top w:val="nil"/>
              <w:left w:val="nil"/>
              <w:bottom w:val="single" w:sz="4" w:space="0" w:color="auto"/>
              <w:right w:val="single" w:sz="4" w:space="0" w:color="auto"/>
            </w:tcBorders>
            <w:shd w:val="clear" w:color="auto" w:fill="DDEBF7"/>
            <w:noWrap/>
            <w:vAlign w:val="bottom"/>
          </w:tcPr>
          <w:p w14:paraId="2FB91E00" w14:textId="77777777" w:rsidR="00316F99" w:rsidRDefault="00F36ED9" w:rsidP="00F36ED9">
            <w:pPr>
              <w:spacing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 xml:space="preserve">        2</w:t>
            </w:r>
          </w:p>
        </w:tc>
        <w:tc>
          <w:tcPr>
            <w:tcW w:w="617" w:type="dxa"/>
            <w:tcBorders>
              <w:top w:val="nil"/>
              <w:left w:val="nil"/>
              <w:bottom w:val="single" w:sz="4" w:space="0" w:color="auto"/>
              <w:right w:val="single" w:sz="4" w:space="0" w:color="auto"/>
            </w:tcBorders>
            <w:shd w:val="clear" w:color="auto" w:fill="DDEBF7"/>
            <w:noWrap/>
            <w:vAlign w:val="bottom"/>
          </w:tcPr>
          <w:p w14:paraId="6BC0BE43" w14:textId="77777777" w:rsidR="00316F99" w:rsidRDefault="00F36ED9" w:rsidP="00F36ED9">
            <w:pPr>
              <w:spacing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 xml:space="preserve">        2</w:t>
            </w:r>
          </w:p>
        </w:tc>
        <w:tc>
          <w:tcPr>
            <w:tcW w:w="617" w:type="dxa"/>
            <w:tcBorders>
              <w:top w:val="nil"/>
              <w:left w:val="nil"/>
              <w:bottom w:val="single" w:sz="4" w:space="0" w:color="auto"/>
              <w:right w:val="single" w:sz="4" w:space="0" w:color="auto"/>
            </w:tcBorders>
            <w:shd w:val="clear" w:color="auto" w:fill="DDEBF7"/>
            <w:noWrap/>
            <w:vAlign w:val="bottom"/>
          </w:tcPr>
          <w:p w14:paraId="5C500F7E" w14:textId="77777777" w:rsidR="00316F99"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17" w:type="dxa"/>
            <w:tcBorders>
              <w:top w:val="nil"/>
              <w:left w:val="nil"/>
              <w:bottom w:val="single" w:sz="4" w:space="0" w:color="auto"/>
              <w:right w:val="single" w:sz="4" w:space="0" w:color="auto"/>
            </w:tcBorders>
            <w:shd w:val="clear" w:color="auto" w:fill="DDEBF7"/>
            <w:noWrap/>
            <w:vAlign w:val="bottom"/>
          </w:tcPr>
          <w:p w14:paraId="066F380F" w14:textId="77777777" w:rsidR="00316F99"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17" w:type="dxa"/>
            <w:tcBorders>
              <w:top w:val="nil"/>
              <w:left w:val="nil"/>
              <w:bottom w:val="single" w:sz="4" w:space="0" w:color="auto"/>
              <w:right w:val="single" w:sz="4" w:space="0" w:color="auto"/>
            </w:tcBorders>
            <w:shd w:val="clear" w:color="auto" w:fill="DDEBF7"/>
            <w:noWrap/>
            <w:vAlign w:val="bottom"/>
          </w:tcPr>
          <w:p w14:paraId="73C63E69" w14:textId="77777777" w:rsidR="00316F99"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17" w:type="dxa"/>
            <w:tcBorders>
              <w:top w:val="nil"/>
              <w:left w:val="nil"/>
              <w:bottom w:val="single" w:sz="4" w:space="0" w:color="auto"/>
              <w:right w:val="single" w:sz="4" w:space="0" w:color="auto"/>
            </w:tcBorders>
            <w:shd w:val="clear" w:color="auto" w:fill="DDEBF7"/>
            <w:noWrap/>
            <w:vAlign w:val="bottom"/>
          </w:tcPr>
          <w:p w14:paraId="17552D5F" w14:textId="77777777" w:rsidR="00316F99" w:rsidRDefault="00F36ED9" w:rsidP="00316F99">
            <w:pPr>
              <w:spacing w:line="240" w:lineRule="auto"/>
              <w:jc w:val="right"/>
              <w:rPr>
                <w:rFonts w:ascii="Calibri Light" w:eastAsia="Times New Roman" w:hAnsi="Calibri Light" w:cs="Calibri Light"/>
                <w:sz w:val="20"/>
                <w:szCs w:val="20"/>
              </w:rPr>
            </w:pPr>
            <w:r>
              <w:rPr>
                <w:rFonts w:ascii="Calibri Light" w:eastAsia="Times New Roman" w:hAnsi="Calibri Light" w:cs="Calibri Light"/>
                <w:sz w:val="20"/>
                <w:szCs w:val="20"/>
              </w:rPr>
              <w:t>2</w:t>
            </w:r>
          </w:p>
        </w:tc>
        <w:tc>
          <w:tcPr>
            <w:tcW w:w="640" w:type="dxa"/>
            <w:tcBorders>
              <w:top w:val="nil"/>
              <w:left w:val="nil"/>
              <w:bottom w:val="single" w:sz="4" w:space="0" w:color="auto"/>
              <w:right w:val="single" w:sz="4" w:space="0" w:color="auto"/>
            </w:tcBorders>
            <w:shd w:val="clear" w:color="auto" w:fill="DDEBF7"/>
            <w:noWrap/>
            <w:vAlign w:val="bottom"/>
          </w:tcPr>
          <w:p w14:paraId="39BA464A" w14:textId="77777777" w:rsidR="00316F99" w:rsidRDefault="00F36ED9" w:rsidP="00F36ED9">
            <w:pPr>
              <w:spacing w:line="240" w:lineRule="auto"/>
              <w:jc w:val="center"/>
              <w:rPr>
                <w:rFonts w:ascii="Calibri Light" w:eastAsia="Times New Roman" w:hAnsi="Calibri Light" w:cs="Calibri Light"/>
                <w:sz w:val="20"/>
                <w:szCs w:val="20"/>
              </w:rPr>
            </w:pPr>
            <w:r>
              <w:rPr>
                <w:rFonts w:ascii="Calibri Light" w:eastAsia="Times New Roman" w:hAnsi="Calibri Light" w:cs="Calibri Light"/>
                <w:sz w:val="20"/>
                <w:szCs w:val="20"/>
              </w:rPr>
              <w:t xml:space="preserve">      12</w:t>
            </w:r>
          </w:p>
        </w:tc>
      </w:tr>
    </w:tbl>
    <w:p w14:paraId="14D6C075" w14:textId="77777777" w:rsidR="00414098" w:rsidRPr="00F15F6B" w:rsidRDefault="00414098" w:rsidP="007F2A09"/>
    <w:p w14:paraId="0DA2093F" w14:textId="77777777" w:rsidR="008D3386" w:rsidRPr="00762091" w:rsidRDefault="00404B0B" w:rsidP="00A51CD4">
      <w:pPr>
        <w:pStyle w:val="Lijstalinea"/>
        <w:numPr>
          <w:ilvl w:val="0"/>
          <w:numId w:val="34"/>
        </w:numPr>
        <w:rPr>
          <w:u w:val="single"/>
        </w:rPr>
      </w:pPr>
      <w:r w:rsidRPr="00762091">
        <w:rPr>
          <w:u w:val="single"/>
        </w:rPr>
        <w:t>Onvoorzien</w:t>
      </w:r>
    </w:p>
    <w:p w14:paraId="1C4966F8" w14:textId="77777777" w:rsidR="00354746" w:rsidRDefault="00B7022E" w:rsidP="00404B0B">
      <w:r>
        <w:t>Er is voor gekozen om</w:t>
      </w:r>
      <w:r w:rsidRPr="00B7022E">
        <w:t xml:space="preserve"> voor </w:t>
      </w:r>
      <w:r>
        <w:t xml:space="preserve">boekjaar </w:t>
      </w:r>
      <w:r w:rsidRPr="00B7022E">
        <w:t xml:space="preserve">2021 een post ‘onvoorzien geoormerkt’ van €5 mln. aan te houden voor evt. rest-claims </w:t>
      </w:r>
      <w:r>
        <w:t xml:space="preserve">van budgethouders geoormerkt geld in 2021. </w:t>
      </w:r>
    </w:p>
    <w:p w14:paraId="46FFEA98" w14:textId="77777777" w:rsidR="00B7022E" w:rsidRDefault="00B7022E" w:rsidP="00404B0B"/>
    <w:p w14:paraId="62D7B364" w14:textId="77777777" w:rsidR="00EB3E4D" w:rsidRDefault="00EB3E4D" w:rsidP="00404B0B"/>
    <w:p w14:paraId="0809EBEF" w14:textId="77777777" w:rsidR="00EB3E4D" w:rsidRDefault="00EB3E4D" w:rsidP="00404B0B"/>
    <w:p w14:paraId="7FACD2D0" w14:textId="77777777" w:rsidR="00EB3E4D" w:rsidRDefault="00EB3E4D" w:rsidP="00404B0B"/>
    <w:tbl>
      <w:tblPr>
        <w:tblW w:w="7672" w:type="dxa"/>
        <w:tblInd w:w="70" w:type="dxa"/>
        <w:tblCellMar>
          <w:left w:w="70" w:type="dxa"/>
          <w:right w:w="70" w:type="dxa"/>
        </w:tblCellMar>
        <w:tblLook w:val="04A0" w:firstRow="1" w:lastRow="0" w:firstColumn="1" w:lastColumn="0" w:noHBand="0" w:noVBand="1"/>
      </w:tblPr>
      <w:tblGrid>
        <w:gridCol w:w="3330"/>
        <w:gridCol w:w="617"/>
        <w:gridCol w:w="617"/>
        <w:gridCol w:w="617"/>
        <w:gridCol w:w="617"/>
        <w:gridCol w:w="617"/>
        <w:gridCol w:w="617"/>
        <w:gridCol w:w="640"/>
      </w:tblGrid>
      <w:tr w:rsidR="00B7022E" w:rsidRPr="008A3538" w14:paraId="54C9AA87" w14:textId="77777777" w:rsidTr="00F74433">
        <w:trPr>
          <w:trHeight w:val="476"/>
        </w:trPr>
        <w:tc>
          <w:tcPr>
            <w:tcW w:w="3330" w:type="dxa"/>
            <w:tcBorders>
              <w:top w:val="single" w:sz="4" w:space="0" w:color="auto"/>
              <w:left w:val="single" w:sz="4" w:space="0" w:color="auto"/>
              <w:bottom w:val="single" w:sz="4" w:space="0" w:color="auto"/>
              <w:right w:val="single" w:sz="4" w:space="0" w:color="auto"/>
            </w:tcBorders>
            <w:shd w:val="clear" w:color="000000" w:fill="9BC2E6"/>
            <w:vAlign w:val="center"/>
            <w:hideMark/>
          </w:tcPr>
          <w:p w14:paraId="24206F19" w14:textId="77777777" w:rsidR="00B7022E" w:rsidRPr="008A3538" w:rsidRDefault="00B7022E" w:rsidP="00F74433">
            <w:pPr>
              <w:autoSpaceDN/>
              <w:spacing w:line="240" w:lineRule="auto"/>
              <w:textAlignment w:val="auto"/>
              <w:rPr>
                <w:rFonts w:ascii="Calibri Light" w:eastAsia="Times New Roman" w:hAnsi="Calibri Light" w:cs="Calibri Light"/>
                <w:b/>
                <w:bCs/>
                <w:color w:val="auto"/>
                <w:sz w:val="20"/>
                <w:szCs w:val="20"/>
              </w:rPr>
            </w:pPr>
            <w:r>
              <w:rPr>
                <w:rFonts w:ascii="Calibri Light" w:eastAsia="Times New Roman" w:hAnsi="Calibri Light" w:cs="Calibri Light"/>
                <w:b/>
                <w:bCs/>
                <w:color w:val="auto"/>
                <w:sz w:val="20"/>
                <w:szCs w:val="20"/>
              </w:rPr>
              <w:lastRenderedPageBreak/>
              <w:t xml:space="preserve">Onvoorzien </w:t>
            </w:r>
            <w:r w:rsidRPr="008A3538">
              <w:rPr>
                <w:rFonts w:ascii="Calibri Light" w:eastAsia="Times New Roman" w:hAnsi="Calibri Light" w:cs="Calibri Light"/>
                <w:b/>
                <w:bCs/>
                <w:color w:val="auto"/>
                <w:sz w:val="20"/>
                <w:szCs w:val="20"/>
              </w:rPr>
              <w:t>(bedragen in € x 1 mln.)</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0B52DD8A" w14:textId="77777777" w:rsidR="00B7022E" w:rsidRPr="008A3538" w:rsidRDefault="00B7022E"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2021</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0509A73E" w14:textId="77777777" w:rsidR="00B7022E" w:rsidRPr="008A3538" w:rsidRDefault="00B7022E"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2022</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5E619A29" w14:textId="77777777" w:rsidR="00B7022E" w:rsidRPr="008A3538" w:rsidRDefault="00B7022E"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2023</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61641047" w14:textId="77777777" w:rsidR="00B7022E" w:rsidRPr="008A3538" w:rsidRDefault="00B7022E"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2024</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56D15785" w14:textId="77777777" w:rsidR="00B7022E" w:rsidRPr="008A3538" w:rsidRDefault="00B7022E"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2025</w:t>
            </w:r>
          </w:p>
        </w:tc>
        <w:tc>
          <w:tcPr>
            <w:tcW w:w="617" w:type="dxa"/>
            <w:tcBorders>
              <w:top w:val="single" w:sz="4" w:space="0" w:color="auto"/>
              <w:left w:val="nil"/>
              <w:bottom w:val="single" w:sz="4" w:space="0" w:color="auto"/>
              <w:right w:val="single" w:sz="4" w:space="0" w:color="auto"/>
            </w:tcBorders>
            <w:shd w:val="clear" w:color="000000" w:fill="9BC2E6"/>
            <w:vAlign w:val="center"/>
            <w:hideMark/>
          </w:tcPr>
          <w:p w14:paraId="38178074" w14:textId="77777777" w:rsidR="00B7022E" w:rsidRPr="008A3538" w:rsidRDefault="00B7022E"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2026</w:t>
            </w:r>
          </w:p>
        </w:tc>
        <w:tc>
          <w:tcPr>
            <w:tcW w:w="640" w:type="dxa"/>
            <w:tcBorders>
              <w:top w:val="single" w:sz="4" w:space="0" w:color="auto"/>
              <w:left w:val="nil"/>
              <w:bottom w:val="single" w:sz="4" w:space="0" w:color="auto"/>
              <w:right w:val="single" w:sz="4" w:space="0" w:color="auto"/>
            </w:tcBorders>
            <w:shd w:val="clear" w:color="000000" w:fill="9BC2E6"/>
            <w:vAlign w:val="center"/>
            <w:hideMark/>
          </w:tcPr>
          <w:p w14:paraId="78A7B4A2" w14:textId="77777777" w:rsidR="00B7022E" w:rsidRPr="008A3538" w:rsidRDefault="00B7022E" w:rsidP="00F74433">
            <w:pPr>
              <w:autoSpaceDN/>
              <w:spacing w:line="240" w:lineRule="auto"/>
              <w:jc w:val="center"/>
              <w:textAlignment w:val="auto"/>
              <w:rPr>
                <w:rFonts w:ascii="Calibri Light" w:eastAsia="Times New Roman" w:hAnsi="Calibri Light" w:cs="Calibri Light"/>
                <w:b/>
                <w:bCs/>
                <w:color w:val="auto"/>
                <w:sz w:val="20"/>
                <w:szCs w:val="20"/>
              </w:rPr>
            </w:pPr>
            <w:r w:rsidRPr="008A3538">
              <w:rPr>
                <w:rFonts w:ascii="Calibri Light" w:eastAsia="Times New Roman" w:hAnsi="Calibri Light" w:cs="Calibri Light"/>
                <w:b/>
                <w:bCs/>
                <w:color w:val="auto"/>
                <w:sz w:val="20"/>
                <w:szCs w:val="20"/>
              </w:rPr>
              <w:t>Totaal</w:t>
            </w:r>
          </w:p>
        </w:tc>
      </w:tr>
      <w:tr w:rsidR="00B7022E" w:rsidRPr="008A3538" w14:paraId="1941730F" w14:textId="77777777" w:rsidTr="00F74433">
        <w:trPr>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579FEAA9" w14:textId="77777777" w:rsidR="00B7022E" w:rsidRPr="008A3538" w:rsidRDefault="00B7022E" w:rsidP="00F74433">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Geoormerkt additioneel</w:t>
            </w:r>
          </w:p>
        </w:tc>
        <w:tc>
          <w:tcPr>
            <w:tcW w:w="617" w:type="dxa"/>
            <w:tcBorders>
              <w:top w:val="nil"/>
              <w:left w:val="nil"/>
              <w:bottom w:val="single" w:sz="4" w:space="0" w:color="auto"/>
              <w:right w:val="single" w:sz="4" w:space="0" w:color="auto"/>
            </w:tcBorders>
            <w:shd w:val="clear" w:color="auto" w:fill="auto"/>
            <w:noWrap/>
            <w:vAlign w:val="bottom"/>
            <w:hideMark/>
          </w:tcPr>
          <w:p w14:paraId="2CFA4BA2"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2.5</w:t>
            </w:r>
          </w:p>
        </w:tc>
        <w:tc>
          <w:tcPr>
            <w:tcW w:w="617" w:type="dxa"/>
            <w:tcBorders>
              <w:top w:val="nil"/>
              <w:left w:val="nil"/>
              <w:bottom w:val="single" w:sz="4" w:space="0" w:color="auto"/>
              <w:right w:val="single" w:sz="4" w:space="0" w:color="auto"/>
            </w:tcBorders>
            <w:shd w:val="clear" w:color="auto" w:fill="auto"/>
            <w:noWrap/>
            <w:vAlign w:val="bottom"/>
            <w:hideMark/>
          </w:tcPr>
          <w:p w14:paraId="19345175" w14:textId="77777777" w:rsidR="00B7022E" w:rsidRPr="008A3538" w:rsidRDefault="0039684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auto" w:fill="auto"/>
            <w:noWrap/>
            <w:vAlign w:val="bottom"/>
            <w:hideMark/>
          </w:tcPr>
          <w:p w14:paraId="0725B38C"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17" w:type="dxa"/>
            <w:tcBorders>
              <w:top w:val="nil"/>
              <w:left w:val="nil"/>
              <w:bottom w:val="single" w:sz="4" w:space="0" w:color="auto"/>
              <w:right w:val="single" w:sz="4" w:space="0" w:color="auto"/>
            </w:tcBorders>
            <w:shd w:val="clear" w:color="auto" w:fill="auto"/>
            <w:noWrap/>
            <w:vAlign w:val="bottom"/>
            <w:hideMark/>
          </w:tcPr>
          <w:p w14:paraId="4C65C49F"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17" w:type="dxa"/>
            <w:tcBorders>
              <w:top w:val="nil"/>
              <w:left w:val="nil"/>
              <w:bottom w:val="single" w:sz="4" w:space="0" w:color="auto"/>
              <w:right w:val="single" w:sz="4" w:space="0" w:color="auto"/>
            </w:tcBorders>
            <w:shd w:val="clear" w:color="auto" w:fill="auto"/>
            <w:noWrap/>
            <w:vAlign w:val="bottom"/>
            <w:hideMark/>
          </w:tcPr>
          <w:p w14:paraId="7734DB87"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17" w:type="dxa"/>
            <w:tcBorders>
              <w:top w:val="nil"/>
              <w:left w:val="nil"/>
              <w:bottom w:val="single" w:sz="4" w:space="0" w:color="auto"/>
              <w:right w:val="single" w:sz="4" w:space="0" w:color="auto"/>
            </w:tcBorders>
            <w:shd w:val="clear" w:color="auto" w:fill="auto"/>
            <w:noWrap/>
            <w:vAlign w:val="bottom"/>
            <w:hideMark/>
          </w:tcPr>
          <w:p w14:paraId="41D6CD18"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6886DFB8" w14:textId="77777777" w:rsidR="00B7022E" w:rsidRPr="008A3538" w:rsidRDefault="00B7022E" w:rsidP="00F74433">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B7022E" w:rsidRPr="008A3538" w14:paraId="2B3F8708" w14:textId="77777777" w:rsidTr="00F74433">
        <w:trPr>
          <w:trHeight w:val="240"/>
        </w:trPr>
        <w:tc>
          <w:tcPr>
            <w:tcW w:w="3330" w:type="dxa"/>
            <w:tcBorders>
              <w:top w:val="nil"/>
              <w:left w:val="single" w:sz="4" w:space="0" w:color="auto"/>
              <w:bottom w:val="single" w:sz="4" w:space="0" w:color="auto"/>
              <w:right w:val="single" w:sz="4" w:space="0" w:color="auto"/>
            </w:tcBorders>
            <w:shd w:val="clear" w:color="auto" w:fill="auto"/>
            <w:noWrap/>
            <w:vAlign w:val="bottom"/>
            <w:hideMark/>
          </w:tcPr>
          <w:p w14:paraId="7EE7B86C" w14:textId="77777777" w:rsidR="00B7022E" w:rsidRPr="008A3538" w:rsidRDefault="00B7022E" w:rsidP="00F74433">
            <w:pPr>
              <w:autoSpaceDN/>
              <w:spacing w:line="240" w:lineRule="auto"/>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Geoormerkt nieuw</w:t>
            </w:r>
          </w:p>
        </w:tc>
        <w:tc>
          <w:tcPr>
            <w:tcW w:w="617" w:type="dxa"/>
            <w:tcBorders>
              <w:top w:val="nil"/>
              <w:left w:val="nil"/>
              <w:bottom w:val="single" w:sz="4" w:space="0" w:color="auto"/>
              <w:right w:val="single" w:sz="4" w:space="0" w:color="auto"/>
            </w:tcBorders>
            <w:shd w:val="clear" w:color="auto" w:fill="auto"/>
            <w:noWrap/>
            <w:vAlign w:val="bottom"/>
            <w:hideMark/>
          </w:tcPr>
          <w:p w14:paraId="1A9B0D5C"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2.5</w:t>
            </w:r>
          </w:p>
        </w:tc>
        <w:tc>
          <w:tcPr>
            <w:tcW w:w="617" w:type="dxa"/>
            <w:tcBorders>
              <w:top w:val="nil"/>
              <w:left w:val="nil"/>
              <w:bottom w:val="single" w:sz="4" w:space="0" w:color="auto"/>
              <w:right w:val="single" w:sz="4" w:space="0" w:color="auto"/>
            </w:tcBorders>
            <w:shd w:val="clear" w:color="auto" w:fill="auto"/>
            <w:noWrap/>
            <w:vAlign w:val="bottom"/>
            <w:hideMark/>
          </w:tcPr>
          <w:p w14:paraId="495C3B4B" w14:textId="77777777" w:rsidR="00B7022E" w:rsidRPr="008A3538" w:rsidRDefault="0039684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auto" w:fill="auto"/>
            <w:noWrap/>
            <w:vAlign w:val="bottom"/>
            <w:hideMark/>
          </w:tcPr>
          <w:p w14:paraId="725B80EA"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17" w:type="dxa"/>
            <w:tcBorders>
              <w:top w:val="nil"/>
              <w:left w:val="nil"/>
              <w:bottom w:val="single" w:sz="4" w:space="0" w:color="auto"/>
              <w:right w:val="single" w:sz="4" w:space="0" w:color="auto"/>
            </w:tcBorders>
            <w:shd w:val="clear" w:color="auto" w:fill="auto"/>
            <w:noWrap/>
            <w:vAlign w:val="bottom"/>
            <w:hideMark/>
          </w:tcPr>
          <w:p w14:paraId="3B6D7497"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17" w:type="dxa"/>
            <w:tcBorders>
              <w:top w:val="nil"/>
              <w:left w:val="nil"/>
              <w:bottom w:val="single" w:sz="4" w:space="0" w:color="auto"/>
              <w:right w:val="single" w:sz="4" w:space="0" w:color="auto"/>
            </w:tcBorders>
            <w:shd w:val="clear" w:color="auto" w:fill="auto"/>
            <w:noWrap/>
            <w:vAlign w:val="bottom"/>
            <w:hideMark/>
          </w:tcPr>
          <w:p w14:paraId="711E87C4"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17" w:type="dxa"/>
            <w:tcBorders>
              <w:top w:val="nil"/>
              <w:left w:val="nil"/>
              <w:bottom w:val="single" w:sz="4" w:space="0" w:color="auto"/>
              <w:right w:val="single" w:sz="4" w:space="0" w:color="auto"/>
            </w:tcBorders>
            <w:shd w:val="clear" w:color="auto" w:fill="auto"/>
            <w:noWrap/>
            <w:vAlign w:val="bottom"/>
            <w:hideMark/>
          </w:tcPr>
          <w:p w14:paraId="3B4B4BE9"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40" w:type="dxa"/>
            <w:tcBorders>
              <w:top w:val="nil"/>
              <w:left w:val="nil"/>
              <w:bottom w:val="single" w:sz="4" w:space="0" w:color="auto"/>
              <w:right w:val="single" w:sz="4" w:space="0" w:color="auto"/>
            </w:tcBorders>
            <w:shd w:val="clear" w:color="auto" w:fill="auto"/>
            <w:noWrap/>
            <w:vAlign w:val="bottom"/>
            <w:hideMark/>
          </w:tcPr>
          <w:p w14:paraId="52ABFE17" w14:textId="77777777" w:rsidR="00B7022E" w:rsidRPr="008A3538" w:rsidRDefault="00B7022E" w:rsidP="00F74433">
            <w:pPr>
              <w:autoSpaceDN/>
              <w:spacing w:line="240" w:lineRule="auto"/>
              <w:textAlignment w:val="auto"/>
              <w:rPr>
                <w:rFonts w:ascii="Calibri Light" w:eastAsia="Times New Roman" w:hAnsi="Calibri Light" w:cs="Calibri Light"/>
                <w:i/>
                <w:iCs/>
                <w:sz w:val="22"/>
                <w:szCs w:val="22"/>
              </w:rPr>
            </w:pPr>
            <w:r w:rsidRPr="008A3538">
              <w:rPr>
                <w:rFonts w:ascii="Calibri Light" w:eastAsia="Times New Roman" w:hAnsi="Calibri Light" w:cs="Calibri Light"/>
                <w:i/>
                <w:iCs/>
                <w:sz w:val="22"/>
                <w:szCs w:val="22"/>
              </w:rPr>
              <w:t> </w:t>
            </w:r>
          </w:p>
        </w:tc>
      </w:tr>
      <w:tr w:rsidR="00B7022E" w:rsidRPr="008A3538" w14:paraId="3F20DCA0" w14:textId="77777777" w:rsidTr="00F74433">
        <w:trPr>
          <w:trHeight w:val="240"/>
        </w:trPr>
        <w:tc>
          <w:tcPr>
            <w:tcW w:w="3330" w:type="dxa"/>
            <w:tcBorders>
              <w:top w:val="nil"/>
              <w:left w:val="single" w:sz="4" w:space="0" w:color="auto"/>
              <w:bottom w:val="single" w:sz="4" w:space="0" w:color="auto"/>
              <w:right w:val="single" w:sz="4" w:space="0" w:color="auto"/>
            </w:tcBorders>
            <w:shd w:val="clear" w:color="000000" w:fill="DDEBF7"/>
            <w:noWrap/>
            <w:vAlign w:val="bottom"/>
            <w:hideMark/>
          </w:tcPr>
          <w:p w14:paraId="3F2C0D1B" w14:textId="77777777" w:rsidR="00B7022E" w:rsidRPr="008A3538" w:rsidRDefault="00B7022E" w:rsidP="00F74433">
            <w:pPr>
              <w:autoSpaceDN/>
              <w:spacing w:line="240" w:lineRule="auto"/>
              <w:textAlignment w:val="auto"/>
              <w:rPr>
                <w:rFonts w:ascii="Calibri Light" w:eastAsia="Times New Roman" w:hAnsi="Calibri Light" w:cs="Calibri Light"/>
                <w:sz w:val="22"/>
                <w:szCs w:val="22"/>
              </w:rPr>
            </w:pPr>
            <w:r w:rsidRPr="008A3538">
              <w:rPr>
                <w:rFonts w:ascii="Calibri Light" w:eastAsia="Times New Roman" w:hAnsi="Calibri Light" w:cs="Calibri Light"/>
                <w:sz w:val="22"/>
                <w:szCs w:val="22"/>
              </w:rPr>
              <w:t>Totaal</w:t>
            </w:r>
          </w:p>
        </w:tc>
        <w:tc>
          <w:tcPr>
            <w:tcW w:w="617" w:type="dxa"/>
            <w:tcBorders>
              <w:top w:val="nil"/>
              <w:left w:val="nil"/>
              <w:bottom w:val="single" w:sz="4" w:space="0" w:color="auto"/>
              <w:right w:val="single" w:sz="4" w:space="0" w:color="auto"/>
            </w:tcBorders>
            <w:shd w:val="clear" w:color="000000" w:fill="DDEBF7"/>
            <w:noWrap/>
            <w:vAlign w:val="bottom"/>
            <w:hideMark/>
          </w:tcPr>
          <w:p w14:paraId="17FF9E6D"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5</w:t>
            </w:r>
          </w:p>
        </w:tc>
        <w:tc>
          <w:tcPr>
            <w:tcW w:w="617" w:type="dxa"/>
            <w:tcBorders>
              <w:top w:val="nil"/>
              <w:left w:val="nil"/>
              <w:bottom w:val="single" w:sz="4" w:space="0" w:color="auto"/>
              <w:right w:val="single" w:sz="4" w:space="0" w:color="auto"/>
            </w:tcBorders>
            <w:shd w:val="clear" w:color="000000" w:fill="DDEBF7"/>
            <w:noWrap/>
            <w:vAlign w:val="bottom"/>
            <w:hideMark/>
          </w:tcPr>
          <w:p w14:paraId="446D785D" w14:textId="77777777" w:rsidR="00B7022E" w:rsidRPr="008A3538" w:rsidRDefault="00396846" w:rsidP="00F74433">
            <w:pPr>
              <w:autoSpaceDN/>
              <w:spacing w:line="240" w:lineRule="auto"/>
              <w:jc w:val="right"/>
              <w:textAlignment w:val="auto"/>
              <w:rPr>
                <w:rFonts w:ascii="Calibri Light" w:eastAsia="Times New Roman" w:hAnsi="Calibri Light" w:cs="Calibri Light"/>
                <w:sz w:val="22"/>
                <w:szCs w:val="22"/>
              </w:rPr>
            </w:pPr>
            <w:r>
              <w:rPr>
                <w:rFonts w:ascii="Calibri Light" w:eastAsia="Times New Roman" w:hAnsi="Calibri Light" w:cs="Calibri Light"/>
                <w:sz w:val="22"/>
                <w:szCs w:val="22"/>
              </w:rPr>
              <w:t>PM</w:t>
            </w:r>
          </w:p>
        </w:tc>
        <w:tc>
          <w:tcPr>
            <w:tcW w:w="617" w:type="dxa"/>
            <w:tcBorders>
              <w:top w:val="nil"/>
              <w:left w:val="nil"/>
              <w:bottom w:val="single" w:sz="4" w:space="0" w:color="auto"/>
              <w:right w:val="single" w:sz="4" w:space="0" w:color="auto"/>
            </w:tcBorders>
            <w:shd w:val="clear" w:color="000000" w:fill="DDEBF7"/>
            <w:noWrap/>
            <w:vAlign w:val="bottom"/>
            <w:hideMark/>
          </w:tcPr>
          <w:p w14:paraId="36AF6D8A"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17" w:type="dxa"/>
            <w:tcBorders>
              <w:top w:val="nil"/>
              <w:left w:val="nil"/>
              <w:bottom w:val="single" w:sz="4" w:space="0" w:color="auto"/>
              <w:right w:val="single" w:sz="4" w:space="0" w:color="auto"/>
            </w:tcBorders>
            <w:shd w:val="clear" w:color="000000" w:fill="DDEBF7"/>
            <w:noWrap/>
            <w:vAlign w:val="bottom"/>
            <w:hideMark/>
          </w:tcPr>
          <w:p w14:paraId="030A143D"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17" w:type="dxa"/>
            <w:tcBorders>
              <w:top w:val="nil"/>
              <w:left w:val="nil"/>
              <w:bottom w:val="single" w:sz="4" w:space="0" w:color="auto"/>
              <w:right w:val="single" w:sz="4" w:space="0" w:color="auto"/>
            </w:tcBorders>
            <w:shd w:val="clear" w:color="000000" w:fill="DDEBF7"/>
            <w:noWrap/>
            <w:vAlign w:val="bottom"/>
            <w:hideMark/>
          </w:tcPr>
          <w:p w14:paraId="34B7181E"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17" w:type="dxa"/>
            <w:tcBorders>
              <w:top w:val="nil"/>
              <w:left w:val="nil"/>
              <w:bottom w:val="single" w:sz="4" w:space="0" w:color="auto"/>
              <w:right w:val="single" w:sz="4" w:space="0" w:color="auto"/>
            </w:tcBorders>
            <w:shd w:val="clear" w:color="000000" w:fill="DDEBF7"/>
            <w:noWrap/>
            <w:vAlign w:val="bottom"/>
            <w:hideMark/>
          </w:tcPr>
          <w:p w14:paraId="6F24F3F7"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c>
          <w:tcPr>
            <w:tcW w:w="640" w:type="dxa"/>
            <w:tcBorders>
              <w:top w:val="nil"/>
              <w:left w:val="nil"/>
              <w:bottom w:val="single" w:sz="4" w:space="0" w:color="auto"/>
              <w:right w:val="single" w:sz="4" w:space="0" w:color="auto"/>
            </w:tcBorders>
            <w:shd w:val="clear" w:color="000000" w:fill="DDEBF7"/>
            <w:noWrap/>
            <w:vAlign w:val="bottom"/>
            <w:hideMark/>
          </w:tcPr>
          <w:p w14:paraId="77B03CFE" w14:textId="77777777" w:rsidR="00B7022E" w:rsidRPr="008A3538" w:rsidRDefault="00B7022E" w:rsidP="00F74433">
            <w:pPr>
              <w:autoSpaceDN/>
              <w:spacing w:line="240" w:lineRule="auto"/>
              <w:jc w:val="right"/>
              <w:textAlignment w:val="auto"/>
              <w:rPr>
                <w:rFonts w:ascii="Calibri Light" w:eastAsia="Times New Roman" w:hAnsi="Calibri Light" w:cs="Calibri Light"/>
                <w:sz w:val="22"/>
                <w:szCs w:val="22"/>
              </w:rPr>
            </w:pPr>
          </w:p>
        </w:tc>
      </w:tr>
    </w:tbl>
    <w:p w14:paraId="6ABCC5CE" w14:textId="77777777" w:rsidR="00396846" w:rsidRDefault="00396846" w:rsidP="00404B0B"/>
    <w:p w14:paraId="66FD6E50" w14:textId="77777777" w:rsidR="001B7338" w:rsidRPr="00A40C3A" w:rsidRDefault="006139E0" w:rsidP="00A40C3A">
      <w:pPr>
        <w:ind w:firstLine="708"/>
        <w:rPr>
          <w:b/>
        </w:rPr>
      </w:pPr>
      <w:r>
        <w:rPr>
          <w:b/>
        </w:rPr>
        <w:t xml:space="preserve">3.1 </w:t>
      </w:r>
      <w:r w:rsidR="00CB1DC9" w:rsidRPr="00A40C3A">
        <w:rPr>
          <w:b/>
        </w:rPr>
        <w:t>Toekenning van geoormerkte middelen</w:t>
      </w:r>
      <w:r w:rsidR="006402A6" w:rsidRPr="00A40C3A">
        <w:rPr>
          <w:b/>
        </w:rPr>
        <w:t xml:space="preserve"> 2021</w:t>
      </w:r>
    </w:p>
    <w:p w14:paraId="237DE448" w14:textId="77777777" w:rsidR="00B3119D" w:rsidRDefault="00B7022E" w:rsidP="00404B0B">
      <w:r>
        <w:t>De geoormerkte middelen voor</w:t>
      </w:r>
      <w:r w:rsidR="00B3119D" w:rsidRPr="00B3119D">
        <w:t xml:space="preserve"> boekjaar </w:t>
      </w:r>
      <w:r>
        <w:t>2021 worden zoveel mogelijk bij</w:t>
      </w:r>
      <w:r w:rsidR="00B3119D" w:rsidRPr="00B3119D">
        <w:t xml:space="preserve"> voor</w:t>
      </w:r>
      <w:r>
        <w:t>jaarsnota beschikbaar gesteld</w:t>
      </w:r>
      <w:r w:rsidR="00B3119D" w:rsidRPr="00B3119D">
        <w:t xml:space="preserve">. </w:t>
      </w:r>
      <w:r w:rsidR="00B3119D">
        <w:t>Alle budgethouders van geoormerkte middelen zijn daarom begin maart aangeschreven met het verzoek om uiterlijk 10 maart een ingevuld IRF-bestedingsplan voor de met het geoo</w:t>
      </w:r>
      <w:r w:rsidR="00C8348F">
        <w:t>rmerkte geld beoogde bestedingsdoelen</w:t>
      </w:r>
      <w:r w:rsidR="00B3119D">
        <w:t xml:space="preserve"> aan te leveren bij de werkgroep bestedingsplan A1. Hiervoor zijn de volgende voorwaarden gesteld</w:t>
      </w:r>
      <w:r w:rsidR="00C8348F">
        <w:t>:</w:t>
      </w:r>
    </w:p>
    <w:p w14:paraId="2FAB633E" w14:textId="77777777" w:rsidR="00E071AC" w:rsidRDefault="00E071AC" w:rsidP="00A51CD4">
      <w:pPr>
        <w:pStyle w:val="Lijstalinea"/>
        <w:numPr>
          <w:ilvl w:val="0"/>
          <w:numId w:val="33"/>
        </w:numPr>
      </w:pPr>
      <w:r w:rsidRPr="00E071AC">
        <w:t xml:space="preserve">Het ingediende bestedingsplan moet voor indiening binnen de eigen lijn geaccordeerd zijn. </w:t>
      </w:r>
    </w:p>
    <w:p w14:paraId="5D0B0721" w14:textId="77777777" w:rsidR="00F017B0" w:rsidRDefault="00F017B0" w:rsidP="00A51CD4">
      <w:pPr>
        <w:pStyle w:val="Lijstalinea"/>
        <w:numPr>
          <w:ilvl w:val="0"/>
          <w:numId w:val="33"/>
        </w:numPr>
      </w:pPr>
      <w:r>
        <w:t>Opgevoerde bestedingen moeten</w:t>
      </w:r>
      <w:r w:rsidR="00BD65DA">
        <w:t xml:space="preserve"> in de onderbouwing</w:t>
      </w:r>
      <w:r>
        <w:t xml:space="preserve"> expliciet gekoppeld worden aan de maatregelen in kabinetsreactie POK. Voor volgende tranches (na oplevering </w:t>
      </w:r>
      <w:r w:rsidR="007E71F7">
        <w:t xml:space="preserve">van het </w:t>
      </w:r>
      <w:r>
        <w:t xml:space="preserve">generiek actieplan) zal deze voorwaarde verder geconcretiseerd worden, waarbij de opgevoerde bestedingen expliciet gekoppeld moeten worden aan 1 of meerdere sporen in het generieke actieplan.  </w:t>
      </w:r>
    </w:p>
    <w:p w14:paraId="0B1D7361" w14:textId="77777777" w:rsidR="00C8348F" w:rsidRDefault="00C8348F" w:rsidP="00A51CD4">
      <w:pPr>
        <w:pStyle w:val="Lijstalinea"/>
        <w:numPr>
          <w:ilvl w:val="0"/>
          <w:numId w:val="33"/>
        </w:numPr>
      </w:pPr>
      <w:r>
        <w:t xml:space="preserve">In het bestedingsplan dient een </w:t>
      </w:r>
      <w:proofErr w:type="spellStart"/>
      <w:r>
        <w:t>pxq</w:t>
      </w:r>
      <w:proofErr w:type="spellEnd"/>
      <w:r>
        <w:t xml:space="preserve"> onderbouwing te worden opgenomen voor de benodigde middelen. </w:t>
      </w:r>
    </w:p>
    <w:p w14:paraId="03E0036B" w14:textId="77777777" w:rsidR="00C8348F" w:rsidRPr="00E071AC" w:rsidRDefault="00C8348F" w:rsidP="00A51CD4">
      <w:pPr>
        <w:pStyle w:val="Lijstalinea"/>
        <w:numPr>
          <w:ilvl w:val="0"/>
          <w:numId w:val="33"/>
        </w:numPr>
        <w:rPr>
          <w:rStyle w:val="Hyperlink"/>
          <w:color w:val="000000"/>
          <w:u w:val="none"/>
        </w:rPr>
      </w:pPr>
      <w:r>
        <w:t>Voor de inzet van capaciteit dient gerekend te wo</w:t>
      </w:r>
      <w:r w:rsidR="00F017B0">
        <w:t>rden met het HOT-tarief 2021 inclusief overhead</w:t>
      </w:r>
      <w:r w:rsidR="004A016E">
        <w:t xml:space="preserve"> en 9% opslag voor staf</w:t>
      </w:r>
      <w:r w:rsidR="00F017B0">
        <w:t xml:space="preserve">. </w:t>
      </w:r>
      <w:r>
        <w:t>(</w:t>
      </w:r>
      <w:hyperlink r:id="rId8" w:history="1">
        <w:r w:rsidR="00F017B0">
          <w:rPr>
            <w:rStyle w:val="Hyperlink"/>
            <w:color w:val="0000FF"/>
          </w:rPr>
          <w:t>Handleiding Overheidstarieven 2021 (kennisopenbaarbestuur.nl)</w:t>
        </w:r>
      </w:hyperlink>
    </w:p>
    <w:p w14:paraId="43EFD5AB" w14:textId="77777777" w:rsidR="00484B45" w:rsidRDefault="00484B45" w:rsidP="00A51CD4">
      <w:pPr>
        <w:pStyle w:val="Lijstalinea"/>
        <w:numPr>
          <w:ilvl w:val="0"/>
          <w:numId w:val="33"/>
        </w:numPr>
      </w:pPr>
      <w:r>
        <w:t xml:space="preserve">De toegekende geoormerkte middelen moeten in 2021 worden </w:t>
      </w:r>
      <w:proofErr w:type="spellStart"/>
      <w:r>
        <w:t>uitgenut</w:t>
      </w:r>
      <w:proofErr w:type="spellEnd"/>
      <w:r>
        <w:t>. Kasschuiven is</w:t>
      </w:r>
      <w:r w:rsidR="00F74433">
        <w:t xml:space="preserve"> niet toegestaan.</w:t>
      </w:r>
    </w:p>
    <w:p w14:paraId="62E4EAFE" w14:textId="77777777" w:rsidR="00E1519F" w:rsidRDefault="00E1519F" w:rsidP="00E1519F">
      <w:pPr>
        <w:pStyle w:val="Lijstalinea"/>
        <w:numPr>
          <w:ilvl w:val="0"/>
          <w:numId w:val="33"/>
        </w:numPr>
      </w:pPr>
      <w:r w:rsidRPr="00E1519F">
        <w:t xml:space="preserve">Door de CISO Rijk wordt geadviseerd om, conform de door de Cyber Security Raad gestelde maatstaf, bij de (door)ontwikkeling en het beheer van informatiesystemen rekening te houden met 10% kosten voor passende informatiebeveiligingsmaatregelen.       </w:t>
      </w:r>
    </w:p>
    <w:p w14:paraId="0318055E" w14:textId="77777777" w:rsidR="00F74433" w:rsidRDefault="00F74433" w:rsidP="00A51CD4">
      <w:pPr>
        <w:pStyle w:val="Lijstalinea"/>
        <w:numPr>
          <w:ilvl w:val="0"/>
          <w:numId w:val="33"/>
        </w:numPr>
      </w:pPr>
      <w:r>
        <w:t xml:space="preserve">De toegekende geoormerkte middelen mogen </w:t>
      </w:r>
      <w:r w:rsidRPr="00F74433">
        <w:t xml:space="preserve">niet ingezet worden voor informatiehuishoudingsprojecten die al in de eigen begrotingen voor 2021 zijn gedekt, tenzij verantwoord kan worden dat het gaat om additioneel benodigde </w:t>
      </w:r>
      <w:r w:rsidR="004A016E">
        <w:t>middelen</w:t>
      </w:r>
      <w:r w:rsidRPr="00F74433">
        <w:t xml:space="preserve"> als gevolg van uitbreiding, versnelling of onvoorziene tegenvallers bij deze projecten.</w:t>
      </w:r>
    </w:p>
    <w:p w14:paraId="4B929AA0" w14:textId="77777777" w:rsidR="00BD65DA" w:rsidRDefault="00484B45" w:rsidP="00A51CD4">
      <w:pPr>
        <w:pStyle w:val="Lijstalinea"/>
        <w:numPr>
          <w:ilvl w:val="0"/>
          <w:numId w:val="33"/>
        </w:numPr>
      </w:pPr>
      <w:r>
        <w:t>I.v.m.</w:t>
      </w:r>
      <w:r w:rsidR="00D708ED">
        <w:t xml:space="preserve"> de Roemernorm, die</w:t>
      </w:r>
      <w:r w:rsidR="00D708ED" w:rsidRPr="00D708ED">
        <w:t xml:space="preserve"> externe inhuur </w:t>
      </w:r>
      <w:r>
        <w:t xml:space="preserve">binnen de Rijksoverheid </w:t>
      </w:r>
      <w:r w:rsidR="00D708ED">
        <w:t xml:space="preserve">begrenst tot maximaal </w:t>
      </w:r>
      <w:r w:rsidR="00D708ED" w:rsidRPr="00D708ED">
        <w:t>10% van de totale personeelsuitgaven</w:t>
      </w:r>
      <w:r w:rsidR="00D708ED">
        <w:t xml:space="preserve">, geldt het ‘pas toe of leg uit’-principe. </w:t>
      </w:r>
      <w:proofErr w:type="spellStart"/>
      <w:r w:rsidR="00D708ED">
        <w:t>Inbesteding</w:t>
      </w:r>
      <w:proofErr w:type="spellEnd"/>
      <w:r w:rsidR="00D708ED">
        <w:t xml:space="preserve"> bij de </w:t>
      </w:r>
      <w:proofErr w:type="spellStart"/>
      <w:r w:rsidR="00D708ED">
        <w:t>SSO’s</w:t>
      </w:r>
      <w:proofErr w:type="spellEnd"/>
      <w:r w:rsidR="00D708ED">
        <w:t xml:space="preserve"> van het Rijk, bij bestaande (I-)personeelspools zoals I-Interim, </w:t>
      </w:r>
      <w:proofErr w:type="spellStart"/>
      <w:r w:rsidR="00D708ED">
        <w:t>Doc-Direkt</w:t>
      </w:r>
      <w:proofErr w:type="spellEnd"/>
      <w:r w:rsidR="00D708ED">
        <w:t xml:space="preserve"> e.a. verdient sterk de voorkeur. </w:t>
      </w:r>
      <w:r w:rsidR="00937833">
        <w:t xml:space="preserve">Indien toch geopteerd wordt voor externe inhuur moet desgevraagd verantwoord kunnen worden waarom </w:t>
      </w:r>
      <w:proofErr w:type="spellStart"/>
      <w:r w:rsidR="00937833">
        <w:t>inbesteding</w:t>
      </w:r>
      <w:proofErr w:type="spellEnd"/>
      <w:r w:rsidR="00937833">
        <w:t xml:space="preserve"> in de betreffende situatie niet mogelijk </w:t>
      </w:r>
      <w:r w:rsidR="00985267">
        <w:t xml:space="preserve">of niet passend </w:t>
      </w:r>
      <w:r w:rsidR="00937833">
        <w:t>was.</w:t>
      </w:r>
    </w:p>
    <w:p w14:paraId="5242BDCC" w14:textId="77777777" w:rsidR="00E1519F" w:rsidRDefault="00E1519F" w:rsidP="00BD65DA"/>
    <w:p w14:paraId="65782B80" w14:textId="77777777" w:rsidR="00396846" w:rsidRDefault="00C2424F" w:rsidP="00BD65DA">
      <w:r w:rsidRPr="001C75CE">
        <w:t>De IRF heeft aangegeven dat afwijkingen van het kasritme binnen de reeks in principe niet worden toegestaan.</w:t>
      </w:r>
      <w:r>
        <w:t xml:space="preserve"> </w:t>
      </w:r>
      <w:r w:rsidRPr="00C2424F">
        <w:t xml:space="preserve">I.v.m. het risico van </w:t>
      </w:r>
      <w:proofErr w:type="spellStart"/>
      <w:r w:rsidRPr="00C2424F">
        <w:t>onderuitputting</w:t>
      </w:r>
      <w:proofErr w:type="spellEnd"/>
      <w:r w:rsidRPr="00C2424F">
        <w:t xml:space="preserve"> is bij </w:t>
      </w:r>
      <w:r w:rsidRPr="00C2424F">
        <w:lastRenderedPageBreak/>
        <w:t xml:space="preserve">budgethouders benadrukt dat aangevraagde middelen voor 2021 echt in 2021 uitgeput moeten worden. </w:t>
      </w:r>
    </w:p>
    <w:p w14:paraId="4E29B906" w14:textId="77777777" w:rsidR="001C75CE" w:rsidRDefault="00C2424F" w:rsidP="00BD65DA">
      <w:r>
        <w:t xml:space="preserve">Mocht gaandeweg het jaar blijken dat toch te conservatief is begroot dan kunnen de betreffende budgethouders aanvullende middelen </w:t>
      </w:r>
      <w:r w:rsidR="00E071AC">
        <w:t xml:space="preserve">voor 2021 </w:t>
      </w:r>
      <w:r w:rsidR="007E71F7">
        <w:t>aan</w:t>
      </w:r>
      <w:r>
        <w:t xml:space="preserve">vragen in </w:t>
      </w:r>
      <w:r w:rsidR="00985267">
        <w:t xml:space="preserve">de </w:t>
      </w:r>
      <w:r>
        <w:t>volgende tranches</w:t>
      </w:r>
      <w:r w:rsidR="001C75CE">
        <w:t>:</w:t>
      </w:r>
    </w:p>
    <w:p w14:paraId="31ABE7C2" w14:textId="77777777" w:rsidR="009A057E" w:rsidRDefault="00985267" w:rsidP="003E1235">
      <w:pPr>
        <w:pStyle w:val="Lijstalinea"/>
        <w:numPr>
          <w:ilvl w:val="0"/>
          <w:numId w:val="36"/>
        </w:numPr>
      </w:pPr>
      <w:r>
        <w:t>Bij a</w:t>
      </w:r>
      <w:r w:rsidR="001C75CE">
        <w:t>ugustusbrief</w:t>
      </w:r>
      <w:r w:rsidR="009A057E">
        <w:t xml:space="preserve"> – aanvraag uiterlijk per </w:t>
      </w:r>
      <w:r w:rsidR="003E1235" w:rsidRPr="003E1235">
        <w:t>18 juni 2021</w:t>
      </w:r>
    </w:p>
    <w:p w14:paraId="2AE6C961" w14:textId="77777777" w:rsidR="006139E0" w:rsidRDefault="00985267" w:rsidP="003E1235">
      <w:pPr>
        <w:pStyle w:val="Lijstalinea"/>
        <w:numPr>
          <w:ilvl w:val="0"/>
          <w:numId w:val="36"/>
        </w:numPr>
      </w:pPr>
      <w:r>
        <w:t>Bij n</w:t>
      </w:r>
      <w:r w:rsidR="001C75CE">
        <w:t>ajaar</w:t>
      </w:r>
      <w:r w:rsidR="009A057E">
        <w:t xml:space="preserve">snota – aanvraag uiterlijk per </w:t>
      </w:r>
      <w:r w:rsidR="003E1235" w:rsidRPr="003E1235">
        <w:t>30 september 2021</w:t>
      </w:r>
    </w:p>
    <w:p w14:paraId="72C86826" w14:textId="77777777" w:rsidR="00A340FD" w:rsidRDefault="00A340FD" w:rsidP="006139E0"/>
    <w:p w14:paraId="0D5078D0" w14:textId="77777777" w:rsidR="006139E0" w:rsidRDefault="00365700" w:rsidP="006139E0">
      <w:pPr>
        <w:ind w:firstLine="708"/>
        <w:rPr>
          <w:b/>
        </w:rPr>
      </w:pPr>
      <w:r>
        <w:rPr>
          <w:b/>
        </w:rPr>
        <w:t>4</w:t>
      </w:r>
      <w:r w:rsidR="006139E0">
        <w:rPr>
          <w:b/>
        </w:rPr>
        <w:t>. Niet-geoormerkte middelen 2021</w:t>
      </w:r>
    </w:p>
    <w:p w14:paraId="6337728A" w14:textId="77777777" w:rsidR="00203EEF" w:rsidRDefault="00762091" w:rsidP="00203EEF">
      <w:r>
        <w:t>Van de A1-middelen is het deel dat betrekking heeft op de</w:t>
      </w:r>
      <w:r w:rsidR="00203EEF">
        <w:t xml:space="preserve"> implementatie van</w:t>
      </w:r>
      <w:r>
        <w:t xml:space="preserve"> </w:t>
      </w:r>
      <w:r w:rsidR="00203EEF">
        <w:t>het generieke actieplan</w:t>
      </w:r>
      <w:r w:rsidR="006139E0">
        <w:t xml:space="preserve"> ‘Open op Orde’</w:t>
      </w:r>
      <w:r w:rsidR="00203EEF">
        <w:t xml:space="preserve"> binnen de Rijksoverheid</w:t>
      </w:r>
      <w:r>
        <w:t xml:space="preserve"> nog</w:t>
      </w:r>
      <w:r w:rsidR="00203EEF">
        <w:t xml:space="preserve"> niet geoormer</w:t>
      </w:r>
      <w:r w:rsidR="00F873DD">
        <w:t>kt. In de hier volgende paragraf</w:t>
      </w:r>
      <w:r w:rsidR="00203EEF">
        <w:t xml:space="preserve">en wordt beschreven hoe deze middelen </w:t>
      </w:r>
      <w:r w:rsidR="00E071AC">
        <w:t xml:space="preserve">voor 2021 </w:t>
      </w:r>
      <w:r w:rsidR="00203EEF">
        <w:t xml:space="preserve">worden toegekend </w:t>
      </w:r>
      <w:r w:rsidR="00E071AC">
        <w:t xml:space="preserve">aan Rijksonderdelen </w:t>
      </w:r>
      <w:r w:rsidR="00203EEF">
        <w:t xml:space="preserve">en onder welke voorwaarden. </w:t>
      </w:r>
    </w:p>
    <w:p w14:paraId="61321410" w14:textId="77777777" w:rsidR="006139E0" w:rsidRDefault="006139E0" w:rsidP="006139E0">
      <w:pPr>
        <w:rPr>
          <w:b/>
        </w:rPr>
      </w:pPr>
    </w:p>
    <w:p w14:paraId="59389449" w14:textId="77777777" w:rsidR="00203EEF" w:rsidRPr="006139E0" w:rsidRDefault="00365700" w:rsidP="006139E0">
      <w:pPr>
        <w:ind w:firstLine="708"/>
        <w:rPr>
          <w:b/>
        </w:rPr>
      </w:pPr>
      <w:r>
        <w:rPr>
          <w:b/>
        </w:rPr>
        <w:t>4</w:t>
      </w:r>
      <w:r w:rsidR="006139E0">
        <w:rPr>
          <w:b/>
        </w:rPr>
        <w:t xml:space="preserve">.1. </w:t>
      </w:r>
      <w:r w:rsidR="008B0953" w:rsidRPr="006139E0">
        <w:rPr>
          <w:b/>
        </w:rPr>
        <w:t>Toekenning s</w:t>
      </w:r>
      <w:r w:rsidR="00203EEF" w:rsidRPr="006139E0">
        <w:rPr>
          <w:b/>
        </w:rPr>
        <w:t>tartbudgetten</w:t>
      </w:r>
      <w:r w:rsidR="00E071AC" w:rsidRPr="006139E0">
        <w:rPr>
          <w:b/>
        </w:rPr>
        <w:t xml:space="preserve"> Rijksonderdelen</w:t>
      </w:r>
      <w:r w:rsidR="008B0953" w:rsidRPr="006139E0">
        <w:rPr>
          <w:b/>
        </w:rPr>
        <w:t xml:space="preserve"> 2021</w:t>
      </w:r>
    </w:p>
    <w:p w14:paraId="6A9D92A1" w14:textId="77777777" w:rsidR="00204D98" w:rsidRDefault="008F5C2E" w:rsidP="00E071AC">
      <w:r>
        <w:t>Uiterlijk 1 jul</w:t>
      </w:r>
      <w:r w:rsidR="00E071AC">
        <w:t xml:space="preserve">i 2021 moeten Rijksonderdelen hun </w:t>
      </w:r>
      <w:r>
        <w:t>organ</w:t>
      </w:r>
      <w:r w:rsidR="00E071AC">
        <w:t>isatie-specifieke plannen –  hebben</w:t>
      </w:r>
      <w:r>
        <w:t xml:space="preserve"> opgeleverd. </w:t>
      </w:r>
      <w:r w:rsidR="00E071AC">
        <w:t xml:space="preserve">Om het totstandkomingsproces van de plannen te faciliteren en Rijksonderdelen in staat te stellen om vanaf juli een start te maken met de uitvoering zal worden gewerkt met startbudgetten. Deze startbudgetten </w:t>
      </w:r>
      <w:r w:rsidR="00204D98">
        <w:t>zullen bij de voorjaarsnota worden meegegeven en zijn aan voorwaarden gebonden.</w:t>
      </w:r>
    </w:p>
    <w:p w14:paraId="3A0F09B9" w14:textId="77777777" w:rsidR="00E071AC" w:rsidRDefault="00E071AC" w:rsidP="00E071AC">
      <w:pPr>
        <w:rPr>
          <w:color w:val="auto"/>
        </w:rPr>
      </w:pPr>
      <w:r>
        <w:t>Het startbudget mag in dit boekjaar worden ingezet voor:</w:t>
      </w:r>
    </w:p>
    <w:p w14:paraId="6DF4D2E0" w14:textId="77777777" w:rsidR="00E071AC" w:rsidRDefault="00204D98" w:rsidP="00A51CD4">
      <w:pPr>
        <w:pStyle w:val="Lijstalinea"/>
        <w:numPr>
          <w:ilvl w:val="0"/>
          <w:numId w:val="37"/>
        </w:numPr>
        <w:autoSpaceDN/>
        <w:spacing w:line="240" w:lineRule="auto"/>
        <w:contextualSpacing w:val="0"/>
        <w:textAlignment w:val="auto"/>
      </w:pPr>
      <w:r>
        <w:t>Het inrichten van een</w:t>
      </w:r>
      <w:r w:rsidR="00E071AC">
        <w:t xml:space="preserve"> eige</w:t>
      </w:r>
      <w:r>
        <w:t xml:space="preserve">n programmateam/teams voor de duur van het programma (2021-2026). </w:t>
      </w:r>
    </w:p>
    <w:p w14:paraId="644ABEF4" w14:textId="77777777" w:rsidR="00E071AC" w:rsidRDefault="00E071AC" w:rsidP="00A51CD4">
      <w:pPr>
        <w:pStyle w:val="Lijstalinea"/>
        <w:numPr>
          <w:ilvl w:val="0"/>
          <w:numId w:val="37"/>
        </w:numPr>
        <w:autoSpaceDN/>
        <w:spacing w:line="240" w:lineRule="auto"/>
        <w:contextualSpacing w:val="0"/>
        <w:textAlignment w:val="auto"/>
      </w:pPr>
      <w:r>
        <w:t>Het (laten) uitvoeren van een nulmeting</w:t>
      </w:r>
      <w:r w:rsidR="000E6999" w:rsidRPr="000E6999">
        <w:t xml:space="preserve"> </w:t>
      </w:r>
      <w:r w:rsidR="000E6999">
        <w:t xml:space="preserve">om </w:t>
      </w:r>
      <w:r w:rsidR="000E6999" w:rsidRPr="000E6999">
        <w:t xml:space="preserve">langs de vier actielijnen </w:t>
      </w:r>
      <w:r w:rsidR="00B209D9">
        <w:t xml:space="preserve">van ‘Open op Orde’ </w:t>
      </w:r>
      <w:r w:rsidR="000E6999" w:rsidRPr="000E6999">
        <w:t>de eigen organisatie in kaart te brengen.</w:t>
      </w:r>
    </w:p>
    <w:p w14:paraId="228C7FEB" w14:textId="77777777" w:rsidR="00E071AC" w:rsidRDefault="00E071AC" w:rsidP="00A51CD4">
      <w:pPr>
        <w:pStyle w:val="Lijstalinea"/>
        <w:numPr>
          <w:ilvl w:val="0"/>
          <w:numId w:val="37"/>
        </w:numPr>
        <w:autoSpaceDN/>
        <w:spacing w:line="240" w:lineRule="auto"/>
        <w:contextualSpacing w:val="0"/>
        <w:textAlignment w:val="auto"/>
      </w:pPr>
      <w:r>
        <w:t>Het op basis van het</w:t>
      </w:r>
      <w:r w:rsidR="000E6999">
        <w:t xml:space="preserve"> MJP RDDI en het generieke plan ‘Open op Orde’ opstellen van het eigen organisatie-specifiek plan.</w:t>
      </w:r>
    </w:p>
    <w:p w14:paraId="031415B8" w14:textId="77777777" w:rsidR="00E071AC" w:rsidRDefault="00000F8B" w:rsidP="00000F8B">
      <w:pPr>
        <w:pStyle w:val="Lijstalinea"/>
        <w:numPr>
          <w:ilvl w:val="0"/>
          <w:numId w:val="37"/>
        </w:numPr>
        <w:autoSpaceDN/>
        <w:spacing w:line="240" w:lineRule="auto"/>
        <w:contextualSpacing w:val="0"/>
        <w:textAlignment w:val="auto"/>
      </w:pPr>
      <w:r w:rsidRPr="00000F8B">
        <w:t>Het starten met actief openbaar maken van onderliggende nota’s van Kamerstukken – conform toezegging in kabinetsreactie POK. Deze toezegging is primair voor de beleidskernen van de departementen.</w:t>
      </w:r>
    </w:p>
    <w:p w14:paraId="3491E1ED" w14:textId="77777777" w:rsidR="00985267" w:rsidRDefault="00B209D9" w:rsidP="00E071AC">
      <w:pPr>
        <w:pStyle w:val="Lijstalinea"/>
        <w:numPr>
          <w:ilvl w:val="0"/>
          <w:numId w:val="37"/>
        </w:numPr>
        <w:autoSpaceDN/>
        <w:spacing w:line="240" w:lineRule="auto"/>
        <w:contextualSpacing w:val="0"/>
        <w:textAlignment w:val="auto"/>
      </w:pPr>
      <w:r>
        <w:t>‘</w:t>
      </w:r>
      <w:r w:rsidR="00E071AC">
        <w:t xml:space="preserve">No </w:t>
      </w:r>
      <w:proofErr w:type="spellStart"/>
      <w:r w:rsidR="00E071AC">
        <w:t>regret</w:t>
      </w:r>
      <w:proofErr w:type="spellEnd"/>
      <w:r>
        <w:t>’</w:t>
      </w:r>
      <w:r w:rsidR="00E071AC">
        <w:t xml:space="preserve"> maatregelen t.b.v. versterking </w:t>
      </w:r>
      <w:r>
        <w:t xml:space="preserve">van de </w:t>
      </w:r>
      <w:r w:rsidR="00E071AC">
        <w:t>digitale informatiehuishouding</w:t>
      </w:r>
      <w:r>
        <w:t>. In bijlage 1 van ‘Open op Orde’ is een overzichtslijst toegevoegd van het type projecten dat minimaal in aanmerking komt voo</w:t>
      </w:r>
      <w:r w:rsidR="00F74433">
        <w:t>r financiering uit de reeks A1</w:t>
      </w:r>
      <w:r w:rsidR="00CE171F">
        <w:t xml:space="preserve">. </w:t>
      </w:r>
    </w:p>
    <w:p w14:paraId="5B950FC6" w14:textId="77777777" w:rsidR="00985267" w:rsidRDefault="00985267" w:rsidP="00E071AC"/>
    <w:p w14:paraId="008B0523" w14:textId="77777777" w:rsidR="00985267" w:rsidRDefault="00985267" w:rsidP="00E071AC">
      <w:r>
        <w:t xml:space="preserve">De voorwaarden voor toekenning van startbudgetten zijn als volgt: </w:t>
      </w:r>
    </w:p>
    <w:p w14:paraId="7050B9E6" w14:textId="77777777" w:rsidR="00985267" w:rsidRDefault="00985267" w:rsidP="00A51CD4">
      <w:pPr>
        <w:pStyle w:val="Lijstalinea"/>
        <w:numPr>
          <w:ilvl w:val="0"/>
          <w:numId w:val="39"/>
        </w:numPr>
      </w:pPr>
      <w:r>
        <w:t>Het startbudget mag enkel worden ingezet voor de hiervoor beschreven doelen in 2021.</w:t>
      </w:r>
      <w:r w:rsidR="004848F8">
        <w:t xml:space="preserve"> </w:t>
      </w:r>
      <w:r w:rsidR="004848F8" w:rsidRPr="004848F8">
        <w:t xml:space="preserve">In bijlage 1 van ‘Open op Orde’ is een overzichtslijst </w:t>
      </w:r>
      <w:r w:rsidR="004848F8">
        <w:t xml:space="preserve">(Hulpmiddel) </w:t>
      </w:r>
      <w:r w:rsidR="004848F8" w:rsidRPr="004848F8">
        <w:t>toegevoegd van</w:t>
      </w:r>
      <w:r w:rsidR="004A016E">
        <w:t xml:space="preserve"> het type projecten dat in ieder geval</w:t>
      </w:r>
      <w:r w:rsidR="004848F8" w:rsidRPr="004848F8">
        <w:t xml:space="preserve"> in aanmerking komt voor financiering uit de reeks A1.</w:t>
      </w:r>
      <w:r>
        <w:t xml:space="preserve"> </w:t>
      </w:r>
      <w:r w:rsidR="004848F8">
        <w:t>Dat</w:t>
      </w:r>
      <w:r w:rsidR="004848F8" w:rsidRPr="004848F8">
        <w:t xml:space="preserve"> ov</w:t>
      </w:r>
      <w:r w:rsidR="004848F8">
        <w:t>erzicht wordt jaarlijks herijkt.</w:t>
      </w:r>
    </w:p>
    <w:p w14:paraId="63F89082" w14:textId="77777777" w:rsidR="00484B45" w:rsidRDefault="00484B45" w:rsidP="00A51CD4">
      <w:pPr>
        <w:pStyle w:val="Lijstalinea"/>
        <w:numPr>
          <w:ilvl w:val="0"/>
          <w:numId w:val="39"/>
        </w:numPr>
      </w:pPr>
      <w:r w:rsidRPr="00484B45">
        <w:t xml:space="preserve">De toegekende </w:t>
      </w:r>
      <w:r>
        <w:t>startbudgetten</w:t>
      </w:r>
      <w:r w:rsidRPr="00484B45">
        <w:t xml:space="preserve"> moeten in 2021 worden </w:t>
      </w:r>
      <w:proofErr w:type="spellStart"/>
      <w:r w:rsidRPr="00484B45">
        <w:t>uitgenut</w:t>
      </w:r>
      <w:proofErr w:type="spellEnd"/>
      <w:r w:rsidRPr="00484B45">
        <w:t xml:space="preserve">. Kasschuiven is niet toegestaan. </w:t>
      </w:r>
    </w:p>
    <w:p w14:paraId="51CCBC71" w14:textId="77777777" w:rsidR="00985267" w:rsidRDefault="004848F8" w:rsidP="00A51CD4">
      <w:pPr>
        <w:pStyle w:val="Lijstalinea"/>
        <w:numPr>
          <w:ilvl w:val="0"/>
          <w:numId w:val="39"/>
        </w:numPr>
      </w:pPr>
      <w:r>
        <w:t>S</w:t>
      </w:r>
      <w:r w:rsidR="00985267" w:rsidRPr="00985267">
        <w:t xml:space="preserve">tructurele </w:t>
      </w:r>
      <w:r>
        <w:t xml:space="preserve">personele </w:t>
      </w:r>
      <w:r w:rsidR="00985267" w:rsidRPr="00985267">
        <w:t>capaciteit</w:t>
      </w:r>
      <w:r>
        <w:t>suitbreiding mag nadrukkelijk nog niet uit deze startbudgetten worden gefinancierd. Alle opgevoerde c</w:t>
      </w:r>
      <w:r w:rsidRPr="004848F8">
        <w:t xml:space="preserve">apaciteit </w:t>
      </w:r>
      <w:r>
        <w:t xml:space="preserve">in 2021 is </w:t>
      </w:r>
      <w:r w:rsidRPr="004848F8">
        <w:t xml:space="preserve">vooralsnog tijdelijk voor de duur van het programma. Deze afspraak zal in het najaar worden herijkt, in de verwachting dat de in het plan regeringscommissaris voorgestelde </w:t>
      </w:r>
      <w:proofErr w:type="spellStart"/>
      <w:r w:rsidRPr="004848F8">
        <w:t>Rijksbrede</w:t>
      </w:r>
      <w:proofErr w:type="spellEnd"/>
      <w:r w:rsidRPr="004848F8">
        <w:t xml:space="preserve"> aanpak voor inventarisatie van IV-capaciteit o.b.v. de KWIV-profielen dan gereed is.</w:t>
      </w:r>
    </w:p>
    <w:p w14:paraId="36662680" w14:textId="77777777" w:rsidR="00A340FD" w:rsidRDefault="00484B45" w:rsidP="005C130D">
      <w:pPr>
        <w:pStyle w:val="Lijstalinea"/>
        <w:numPr>
          <w:ilvl w:val="0"/>
          <w:numId w:val="39"/>
        </w:numPr>
      </w:pPr>
      <w:r>
        <w:lastRenderedPageBreak/>
        <w:t>I.v.m.</w:t>
      </w:r>
      <w:r w:rsidRPr="00484B45">
        <w:t xml:space="preserve"> de Roemernorm, die externe inhuur </w:t>
      </w:r>
      <w:r>
        <w:t xml:space="preserve">binnen de Rijksoverheid </w:t>
      </w:r>
      <w:r w:rsidRPr="00484B45">
        <w:t xml:space="preserve">begrenst tot maximaal 10% van de totale personeelsuitgaven, geldt het ‘pas toe of leg uit’-principe. </w:t>
      </w:r>
      <w:proofErr w:type="spellStart"/>
      <w:r w:rsidRPr="00484B45">
        <w:t>Inbesteding</w:t>
      </w:r>
      <w:proofErr w:type="spellEnd"/>
      <w:r w:rsidRPr="00484B45">
        <w:t xml:space="preserve"> bij de </w:t>
      </w:r>
      <w:proofErr w:type="spellStart"/>
      <w:r w:rsidRPr="00484B45">
        <w:t>SSO’s</w:t>
      </w:r>
      <w:proofErr w:type="spellEnd"/>
      <w:r w:rsidRPr="00484B45">
        <w:t xml:space="preserve"> van het Rijk, </w:t>
      </w:r>
    </w:p>
    <w:p w14:paraId="07DFC21D" w14:textId="77777777" w:rsidR="005C130D" w:rsidRDefault="00484B45" w:rsidP="00A340FD">
      <w:pPr>
        <w:pStyle w:val="Lijstalinea"/>
      </w:pPr>
      <w:r w:rsidRPr="00484B45">
        <w:t xml:space="preserve">bij bestaande (I-)personeelspools zoals I-Interim, </w:t>
      </w:r>
      <w:proofErr w:type="spellStart"/>
      <w:r w:rsidRPr="00484B45">
        <w:t>Doc-Direkt</w:t>
      </w:r>
      <w:proofErr w:type="spellEnd"/>
      <w:r w:rsidRPr="00484B45">
        <w:t xml:space="preserve"> e.a. verdient sterk de voorkeur. Indien toch geopteerd wordt voor externe inhuur moet desgevraagd verantwoord kunnen worden waarom </w:t>
      </w:r>
      <w:proofErr w:type="spellStart"/>
      <w:r w:rsidRPr="00484B45">
        <w:t>inbesteding</w:t>
      </w:r>
      <w:proofErr w:type="spellEnd"/>
      <w:r w:rsidRPr="00484B45">
        <w:t xml:space="preserve"> in de betreffende situatie niet mogelijk of niet passend was.</w:t>
      </w:r>
    </w:p>
    <w:p w14:paraId="2E267C32" w14:textId="77777777" w:rsidR="005C130D" w:rsidRPr="00985267" w:rsidRDefault="005C130D" w:rsidP="005C130D">
      <w:pPr>
        <w:pStyle w:val="Lijstalinea"/>
        <w:numPr>
          <w:ilvl w:val="0"/>
          <w:numId w:val="39"/>
        </w:numPr>
      </w:pPr>
      <w:r>
        <w:t xml:space="preserve">Door de CISO Rijk wordt geadviseerd om, conform de door de Cyber Security Raad gestelde maatstaf, bij de (door)ontwikkeling en het beheer van informatiesystemen rekening te houden met 10% kosten voor passende informatiebeveiligingsmaatregelen.       </w:t>
      </w:r>
    </w:p>
    <w:p w14:paraId="157763B5" w14:textId="77777777" w:rsidR="004E2EA4" w:rsidRDefault="004848F8" w:rsidP="00A51CD4">
      <w:pPr>
        <w:pStyle w:val="Lijstalinea"/>
        <w:numPr>
          <w:ilvl w:val="0"/>
          <w:numId w:val="39"/>
        </w:numPr>
      </w:pPr>
      <w:r>
        <w:t>Startbudgetten mogen in principe niet ingezet worden voor informatiehuishoudingsprojecten die al</w:t>
      </w:r>
      <w:r w:rsidRPr="004848F8">
        <w:t xml:space="preserve"> in de </w:t>
      </w:r>
      <w:r>
        <w:t xml:space="preserve">eigen </w:t>
      </w:r>
      <w:r w:rsidRPr="004848F8">
        <w:t xml:space="preserve">begrotingen voor 2021 zijn gedekt, </w:t>
      </w:r>
      <w:r>
        <w:t>tenzij in de organisatie-specifieke plannen verantwoord kan worden dat het gaat om additione</w:t>
      </w:r>
      <w:r w:rsidR="004E2EA4">
        <w:t>el benodigde</w:t>
      </w:r>
      <w:r>
        <w:t xml:space="preserve"> dekking als gevolg van uitbreiding, versnelling of onvoorziene tegenvallers bij deze projecten. </w:t>
      </w:r>
    </w:p>
    <w:p w14:paraId="2038CC8E" w14:textId="77777777" w:rsidR="00484B45" w:rsidRDefault="004E2EA4" w:rsidP="00A51CD4">
      <w:pPr>
        <w:pStyle w:val="Lijstalinea"/>
        <w:numPr>
          <w:ilvl w:val="0"/>
          <w:numId w:val="39"/>
        </w:numPr>
      </w:pPr>
      <w:r>
        <w:t>B</w:t>
      </w:r>
      <w:r w:rsidR="00E071AC">
        <w:t>ij opleveri</w:t>
      </w:r>
      <w:r w:rsidR="007D65F9">
        <w:t xml:space="preserve">ng van de </w:t>
      </w:r>
      <w:r w:rsidR="00E071AC">
        <w:t>plan</w:t>
      </w:r>
      <w:r w:rsidR="007D65F9">
        <w:t>nen van Rijksonderdelen</w:t>
      </w:r>
      <w:r w:rsidR="00E071AC">
        <w:t xml:space="preserve"> in juli </w:t>
      </w:r>
      <w:r>
        <w:t>moet verantwoord worden hoe het startbudget</w:t>
      </w:r>
      <w:r w:rsidR="00484B45">
        <w:t xml:space="preserve"> tot dan toe</w:t>
      </w:r>
      <w:r w:rsidR="00E071AC">
        <w:t xml:space="preserve"> is</w:t>
      </w:r>
      <w:r>
        <w:t xml:space="preserve"> besteed en hoe</w:t>
      </w:r>
      <w:r w:rsidR="00484B45">
        <w:t xml:space="preserve"> het restant startbudget (indien nog niet volledig </w:t>
      </w:r>
      <w:proofErr w:type="spellStart"/>
      <w:r w:rsidR="00484B45">
        <w:t>uitgenut</w:t>
      </w:r>
      <w:proofErr w:type="spellEnd"/>
      <w:r w:rsidR="00484B45">
        <w:t xml:space="preserve">) in 2021 wordt </w:t>
      </w:r>
      <w:r>
        <w:t>ingezet</w:t>
      </w:r>
      <w:r w:rsidR="00E071AC">
        <w:t>.</w:t>
      </w:r>
    </w:p>
    <w:p w14:paraId="3E0C2719" w14:textId="77777777" w:rsidR="0072176D" w:rsidRDefault="0072176D" w:rsidP="0072176D">
      <w:pPr>
        <w:pStyle w:val="Lijstalinea"/>
        <w:numPr>
          <w:ilvl w:val="0"/>
          <w:numId w:val="39"/>
        </w:numPr>
      </w:pPr>
      <w:r w:rsidRPr="0072176D">
        <w:t xml:space="preserve">UBR en </w:t>
      </w:r>
      <w:proofErr w:type="spellStart"/>
      <w:r w:rsidRPr="0072176D">
        <w:t>Doc-Direkt</w:t>
      </w:r>
      <w:proofErr w:type="spellEnd"/>
      <w:r w:rsidRPr="0072176D">
        <w:t xml:space="preserve"> </w:t>
      </w:r>
      <w:r>
        <w:t>hebben een vijftal teams gevormd die per 1 april kunnen beginnen bij 1 of meerdere Rijksonderdelen. Deze teams bestaan in de basis uit een</w:t>
      </w:r>
      <w:r w:rsidRPr="0072176D">
        <w:t xml:space="preserve"> projectleider, informatiespecialist en I-trainee</w:t>
      </w:r>
      <w:r>
        <w:t xml:space="preserve"> waarbij afhankelijk van de specifieke behoefte ook aanvullende expertises (informatiebeveiliging, privacy, verandermanagement e.a.) inzetbaar is.</w:t>
      </w:r>
      <w:r w:rsidR="00B502E2">
        <w:t xml:space="preserve"> A</w:t>
      </w:r>
      <w:r w:rsidR="008F3B3F">
        <w:t xml:space="preserve">fnemende organisaties </w:t>
      </w:r>
      <w:r w:rsidR="00B502E2">
        <w:t xml:space="preserve">dienen de teams uit de eigen (start)budgetten te financieren. </w:t>
      </w:r>
    </w:p>
    <w:p w14:paraId="7344B6CE" w14:textId="77777777" w:rsidR="000E6999" w:rsidRDefault="00484B45" w:rsidP="00484B45">
      <w:r>
        <w:t xml:space="preserve"> </w:t>
      </w:r>
      <w:r w:rsidR="00E071AC">
        <w:t xml:space="preserve"> </w:t>
      </w:r>
    </w:p>
    <w:p w14:paraId="2E25FD0A" w14:textId="77777777" w:rsidR="000E6999" w:rsidRDefault="000E6999" w:rsidP="000E6999">
      <w:r>
        <w:t>Op basis van de ingediende organisatie-specifieke</w:t>
      </w:r>
      <w:r w:rsidR="00E071AC">
        <w:t xml:space="preserve"> plannen kunnen waar nodig nog extra middelen worden aangevraagd voor 2021. Die m</w:t>
      </w:r>
      <w:r>
        <w:t xml:space="preserve">iddelen kunnen </w:t>
      </w:r>
      <w:r w:rsidR="00E071AC">
        <w:t>na beoordeling door het team van de regeri</w:t>
      </w:r>
      <w:r>
        <w:t>ngscommissaris, worden toegekend in volgende tranches:</w:t>
      </w:r>
    </w:p>
    <w:p w14:paraId="02693A62" w14:textId="77777777" w:rsidR="000E6999" w:rsidRDefault="000E6999" w:rsidP="00A51CD4">
      <w:pPr>
        <w:pStyle w:val="Lijstalinea"/>
        <w:numPr>
          <w:ilvl w:val="0"/>
          <w:numId w:val="38"/>
        </w:numPr>
      </w:pPr>
      <w:r>
        <w:t>Augustusbrief</w:t>
      </w:r>
      <w:r w:rsidR="003E1235">
        <w:t xml:space="preserve"> – aanvraag uiterlijk per d.d. 18 juni 2021</w:t>
      </w:r>
      <w:r>
        <w:t xml:space="preserve"> </w:t>
      </w:r>
    </w:p>
    <w:p w14:paraId="19F17B99" w14:textId="77777777" w:rsidR="00F74433" w:rsidRDefault="000E6999" w:rsidP="00A51CD4">
      <w:pPr>
        <w:pStyle w:val="Lijstalinea"/>
        <w:numPr>
          <w:ilvl w:val="0"/>
          <w:numId w:val="38"/>
        </w:numPr>
      </w:pPr>
      <w:r>
        <w:t>Najaarsnota</w:t>
      </w:r>
      <w:r w:rsidR="003E1235">
        <w:t xml:space="preserve"> – aanvraag uiterlijk per d.d. 30 september 2021</w:t>
      </w:r>
    </w:p>
    <w:p w14:paraId="601F66B0" w14:textId="77777777" w:rsidR="00EB3E4D" w:rsidRDefault="00EB3E4D" w:rsidP="00404B0B"/>
    <w:p w14:paraId="2FB35112" w14:textId="77777777" w:rsidR="00DE4C76" w:rsidRDefault="00DE4C76" w:rsidP="00404B0B"/>
    <w:p w14:paraId="0D39DEEF" w14:textId="77777777" w:rsidR="00EB3E4D" w:rsidRDefault="00EB3E4D" w:rsidP="00404B0B"/>
    <w:p w14:paraId="002A1D91" w14:textId="77777777" w:rsidR="00985267" w:rsidRDefault="00365700" w:rsidP="00F74433">
      <w:pPr>
        <w:ind w:firstLine="708"/>
        <w:rPr>
          <w:b/>
        </w:rPr>
      </w:pPr>
      <w:r>
        <w:rPr>
          <w:b/>
        </w:rPr>
        <w:t>4</w:t>
      </w:r>
      <w:r w:rsidR="006139E0">
        <w:rPr>
          <w:b/>
        </w:rPr>
        <w:t>.2.</w:t>
      </w:r>
      <w:r w:rsidR="008B0953">
        <w:rPr>
          <w:b/>
        </w:rPr>
        <w:t xml:space="preserve"> Overzicht </w:t>
      </w:r>
      <w:r w:rsidR="00DA15BC">
        <w:rPr>
          <w:b/>
        </w:rPr>
        <w:t xml:space="preserve">en verantwoording </w:t>
      </w:r>
      <w:r w:rsidR="008B0953">
        <w:rPr>
          <w:b/>
        </w:rPr>
        <w:t>startbudgetten 2021</w:t>
      </w:r>
    </w:p>
    <w:p w14:paraId="6ABCF3A1" w14:textId="77777777" w:rsidR="00CC02D1" w:rsidRDefault="00F74433" w:rsidP="00F74433">
      <w:r>
        <w:t xml:space="preserve">De financiële onderbouwing van de niet-geoormerkte middelen binnen de reeks A1 is primair gebaseerd op de </w:t>
      </w:r>
      <w:r w:rsidR="004D048F">
        <w:t xml:space="preserve">in 2020 </w:t>
      </w:r>
      <w:r>
        <w:t xml:space="preserve">door PBLQ en </w:t>
      </w:r>
      <w:proofErr w:type="spellStart"/>
      <w:r>
        <w:t>Ecorys</w:t>
      </w:r>
      <w:proofErr w:type="spellEnd"/>
      <w:r>
        <w:t xml:space="preserve"> uitgevoerde</w:t>
      </w:r>
      <w:r w:rsidRPr="00F74433">
        <w:t xml:space="preserve"> kosten en- batenanalyse</w:t>
      </w:r>
      <w:r>
        <w:t xml:space="preserve"> </w:t>
      </w:r>
      <w:r w:rsidR="000C013D">
        <w:t xml:space="preserve">(KBA) </w:t>
      </w:r>
      <w:r>
        <w:t>verbetering informatiehuishouding RDDI</w:t>
      </w:r>
      <w:r w:rsidR="00F873DD">
        <w:t>.</w:t>
      </w:r>
      <w:r>
        <w:rPr>
          <w:rStyle w:val="Voetnootmarkering"/>
        </w:rPr>
        <w:footnoteReference w:id="2"/>
      </w:r>
      <w:r>
        <w:t xml:space="preserve"> </w:t>
      </w:r>
    </w:p>
    <w:p w14:paraId="6DDB4AEB" w14:textId="77777777" w:rsidR="000C013D" w:rsidRDefault="004D048F" w:rsidP="00CC02D1">
      <w:r>
        <w:t xml:space="preserve">Het aantal medewerkers, onderverdeeld naar omvang van organisatie, vormde hierbij een belangrijke kostendrijver. </w:t>
      </w:r>
      <w:r w:rsidR="000C013D">
        <w:t xml:space="preserve">De omvang van de startbudgetten houdt eveneens rekening met het verschil in omvang tussen </w:t>
      </w:r>
      <w:r w:rsidR="00CC02D1">
        <w:t>Rijksonderdelen</w:t>
      </w:r>
      <w:r w:rsidR="000C013D">
        <w:t xml:space="preserve"> en is – met een vaste voet -  gecategoriseerd naar aantallen fte’s:</w:t>
      </w:r>
    </w:p>
    <w:p w14:paraId="10D60306" w14:textId="77777777" w:rsidR="000C013D" w:rsidRDefault="009D35D8" w:rsidP="00A51CD4">
      <w:pPr>
        <w:pStyle w:val="Lijstalinea"/>
        <w:numPr>
          <w:ilvl w:val="0"/>
          <w:numId w:val="40"/>
        </w:numPr>
        <w:textAlignment w:val="auto"/>
      </w:pPr>
      <w:r>
        <w:lastRenderedPageBreak/>
        <w:t xml:space="preserve">Kerndepartementen </w:t>
      </w:r>
      <w:r w:rsidR="000C013D">
        <w:t>en Ho</w:t>
      </w:r>
      <w:r>
        <w:t xml:space="preserve">ge </w:t>
      </w:r>
      <w:r w:rsidR="000C013D">
        <w:t>Co</w:t>
      </w:r>
      <w:r>
        <w:t xml:space="preserve">lleges van Staat met een personele omvang </w:t>
      </w:r>
      <w:r w:rsidR="000C013D">
        <w:t>t</w:t>
      </w:r>
      <w:r>
        <w:t>ot 1000 fte maken aanspraak op</w:t>
      </w:r>
      <w:r w:rsidR="000C013D">
        <w:t xml:space="preserve"> 600.000</w:t>
      </w:r>
      <w:r>
        <w:t xml:space="preserve"> basis-startbudget.</w:t>
      </w:r>
    </w:p>
    <w:p w14:paraId="7D3EB526" w14:textId="77777777" w:rsidR="000C013D" w:rsidRDefault="009D35D8" w:rsidP="00A51CD4">
      <w:pPr>
        <w:pStyle w:val="Lijstalinea"/>
        <w:numPr>
          <w:ilvl w:val="0"/>
          <w:numId w:val="40"/>
        </w:numPr>
        <w:textAlignment w:val="auto"/>
      </w:pPr>
      <w:r>
        <w:t xml:space="preserve">Kerndepartementen </w:t>
      </w:r>
      <w:r w:rsidR="000C013D">
        <w:t xml:space="preserve">en </w:t>
      </w:r>
      <w:proofErr w:type="spellStart"/>
      <w:r w:rsidR="000C013D">
        <w:t>Sui</w:t>
      </w:r>
      <w:proofErr w:type="spellEnd"/>
      <w:r w:rsidR="000C013D">
        <w:t xml:space="preserve"> </w:t>
      </w:r>
      <w:proofErr w:type="spellStart"/>
      <w:r w:rsidR="000C013D">
        <w:t>Generis</w:t>
      </w:r>
      <w:proofErr w:type="spellEnd"/>
      <w:r w:rsidR="000C013D">
        <w:t xml:space="preserve"> </w:t>
      </w:r>
      <w:r>
        <w:t>organisaties groter dan 1000 fte maken aanspraak op</w:t>
      </w:r>
      <w:r w:rsidR="000C013D">
        <w:t xml:space="preserve"> €1.200.000</w:t>
      </w:r>
      <w:r>
        <w:t xml:space="preserve"> basis-startbudget</w:t>
      </w:r>
    </w:p>
    <w:p w14:paraId="69B866F1" w14:textId="77777777" w:rsidR="00CC02D1" w:rsidRDefault="009D35D8" w:rsidP="00A51CD4">
      <w:pPr>
        <w:pStyle w:val="Lijstalinea"/>
        <w:numPr>
          <w:ilvl w:val="0"/>
          <w:numId w:val="40"/>
        </w:numPr>
        <w:textAlignment w:val="auto"/>
      </w:pPr>
      <w:r>
        <w:t>Indien het kerndepartement beschikt over a</w:t>
      </w:r>
      <w:r w:rsidR="00CC02D1">
        <w:t>gentschappen</w:t>
      </w:r>
      <w:r>
        <w:t xml:space="preserve"> en ZBO</w:t>
      </w:r>
      <w:r w:rsidR="002F4731">
        <w:t>’</w:t>
      </w:r>
      <w:r>
        <w:t xml:space="preserve">s </w:t>
      </w:r>
      <w:r w:rsidR="002F4731">
        <w:t xml:space="preserve">die samen optellen </w:t>
      </w:r>
      <w:r w:rsidR="000C013D">
        <w:t xml:space="preserve">tot </w:t>
      </w:r>
      <w:r>
        <w:t>een maximum van 15.000 fte</w:t>
      </w:r>
      <w:r w:rsidR="000C013D">
        <w:t xml:space="preserve"> </w:t>
      </w:r>
      <w:r>
        <w:t xml:space="preserve">kan het aanspraak maken op </w:t>
      </w:r>
      <w:r w:rsidR="000C013D">
        <w:t>€60</w:t>
      </w:r>
      <w:r>
        <w:t>0.000 extra startbudget</w:t>
      </w:r>
      <w:r w:rsidR="000C013D">
        <w:t xml:space="preserve">. </w:t>
      </w:r>
    </w:p>
    <w:p w14:paraId="62521A5E" w14:textId="77777777" w:rsidR="00985267" w:rsidRDefault="009D35D8" w:rsidP="00A51CD4">
      <w:pPr>
        <w:pStyle w:val="Lijstalinea"/>
        <w:numPr>
          <w:ilvl w:val="0"/>
          <w:numId w:val="40"/>
        </w:numPr>
        <w:textAlignment w:val="auto"/>
      </w:pPr>
      <w:r>
        <w:t>Indien het kerndepartement beschikt over a</w:t>
      </w:r>
      <w:r w:rsidR="00CC02D1">
        <w:t xml:space="preserve">gentschappen, </w:t>
      </w:r>
      <w:r w:rsidR="000C013D">
        <w:t>ZBO</w:t>
      </w:r>
      <w:r w:rsidR="002F4731">
        <w:t>’s die samen optellen tot meer</w:t>
      </w:r>
      <w:r w:rsidR="000C013D">
        <w:t xml:space="preserve"> dan 15.000 fte</w:t>
      </w:r>
      <w:r>
        <w:t xml:space="preserve"> kan </w:t>
      </w:r>
      <w:r w:rsidR="00BE66A2">
        <w:t xml:space="preserve">het aanspraak maken op </w:t>
      </w:r>
      <w:r w:rsidR="000C013D">
        <w:t xml:space="preserve">€1.200.000 extra </w:t>
      </w:r>
      <w:r w:rsidR="00BE66A2">
        <w:t xml:space="preserve">startbudget. Dit geldt ook voor de Nationale Politie, als enige </w:t>
      </w:r>
      <w:proofErr w:type="spellStart"/>
      <w:r w:rsidR="00BE66A2">
        <w:t>Sui</w:t>
      </w:r>
      <w:proofErr w:type="spellEnd"/>
      <w:r w:rsidR="00BE66A2">
        <w:t xml:space="preserve"> </w:t>
      </w:r>
      <w:proofErr w:type="spellStart"/>
      <w:r w:rsidR="00BE66A2">
        <w:t>Generis</w:t>
      </w:r>
      <w:proofErr w:type="spellEnd"/>
      <w:r w:rsidR="00BE66A2">
        <w:t xml:space="preserve">-organisatie in deze categorie. </w:t>
      </w:r>
    </w:p>
    <w:p w14:paraId="02CA7ACB" w14:textId="77777777" w:rsidR="00CD56F2" w:rsidRDefault="00CD56F2" w:rsidP="00CC02D1">
      <w:pPr>
        <w:textAlignment w:val="auto"/>
      </w:pPr>
    </w:p>
    <w:p w14:paraId="2CD56DC7" w14:textId="77777777" w:rsidR="009D35D8" w:rsidRDefault="009D35D8" w:rsidP="00CC02D1">
      <w:pPr>
        <w:textAlignment w:val="auto"/>
      </w:pPr>
      <w:r>
        <w:t xml:space="preserve">Bij </w:t>
      </w:r>
      <w:r w:rsidR="00F873DD">
        <w:t xml:space="preserve">bepaling </w:t>
      </w:r>
      <w:r w:rsidR="00BE66A2">
        <w:t>van de hoogte van de</w:t>
      </w:r>
      <w:r>
        <w:t xml:space="preserve"> startbudget</w:t>
      </w:r>
      <w:r w:rsidR="00BE66A2">
        <w:t>ten</w:t>
      </w:r>
      <w:r>
        <w:t xml:space="preserve"> is rekening gehouden</w:t>
      </w:r>
      <w:r w:rsidR="00BE66A2">
        <w:t xml:space="preserve"> met het feit dat departementen </w:t>
      </w:r>
      <w:r>
        <w:t>ook plannen moeten (laten) maken en nulmetingen mo</w:t>
      </w:r>
      <w:r w:rsidR="00F873DD">
        <w:t>e</w:t>
      </w:r>
      <w:r>
        <w:t xml:space="preserve">ten (laten) uitvoeren voor hun uitvoeringsveld (inclusief </w:t>
      </w:r>
      <w:r w:rsidR="00BE66A2">
        <w:t xml:space="preserve">de </w:t>
      </w:r>
      <w:r>
        <w:t>zelfstandige onderdelen)</w:t>
      </w:r>
      <w:r w:rsidR="00BE66A2">
        <w:t xml:space="preserve">. </w:t>
      </w:r>
    </w:p>
    <w:p w14:paraId="12E12F55" w14:textId="77777777" w:rsidR="00F873DD" w:rsidRDefault="00F873DD" w:rsidP="00BE66A2">
      <w:pPr>
        <w:textAlignment w:val="auto"/>
      </w:pPr>
    </w:p>
    <w:p w14:paraId="63E197A9" w14:textId="77777777" w:rsidR="008B0953" w:rsidRDefault="00CC02D1" w:rsidP="00BE66A2">
      <w:pPr>
        <w:textAlignment w:val="auto"/>
      </w:pPr>
      <w:r>
        <w:t xml:space="preserve">Op basis van bovenstaand </w:t>
      </w:r>
      <w:r w:rsidR="00BE66A2">
        <w:t>verdeelsleutel</w:t>
      </w:r>
      <w:r>
        <w:t xml:space="preserve"> is medio maart contact gezocht met alle ministeries, Hoge Colleges van Staat en </w:t>
      </w:r>
      <w:proofErr w:type="spellStart"/>
      <w:r>
        <w:t>Sui</w:t>
      </w:r>
      <w:proofErr w:type="spellEnd"/>
      <w:r>
        <w:t xml:space="preserve"> </w:t>
      </w:r>
      <w:proofErr w:type="spellStart"/>
      <w:r>
        <w:t>Generis</w:t>
      </w:r>
      <w:proofErr w:type="spellEnd"/>
      <w:r>
        <w:t xml:space="preserve">-organisaties voor een eerste indicatie of de startbudgetten toereikend zijn en </w:t>
      </w:r>
      <w:r w:rsidR="00BE66A2">
        <w:t xml:space="preserve">naar verwachting </w:t>
      </w:r>
      <w:r>
        <w:t xml:space="preserve">volledig </w:t>
      </w:r>
      <w:proofErr w:type="spellStart"/>
      <w:r>
        <w:t>uitgenut</w:t>
      </w:r>
      <w:proofErr w:type="spellEnd"/>
      <w:r>
        <w:t xml:space="preserve"> kunnen worden in 2021. Op basis van de resultaten van die uitvraag zijn de startbudgetten waar nodig nog afgestemd op specifieke behoeftes. Dit leidt tot de volgende verdeling:   </w:t>
      </w:r>
    </w:p>
    <w:p w14:paraId="608408AE" w14:textId="77777777" w:rsidR="00DE4C76" w:rsidRPr="00DE4C76" w:rsidRDefault="003801CD" w:rsidP="007D65F9">
      <w:r w:rsidRPr="003801CD">
        <w:rPr>
          <w:noProof/>
        </w:rPr>
        <w:lastRenderedPageBreak/>
        <w:drawing>
          <wp:inline distT="0" distB="0" distL="0" distR="0" wp14:anchorId="6073714B" wp14:editId="47CE3398">
            <wp:extent cx="4764405" cy="4504247"/>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405" cy="4504247"/>
                    </a:xfrm>
                    <a:prstGeom prst="rect">
                      <a:avLst/>
                    </a:prstGeom>
                    <a:noFill/>
                    <a:ln>
                      <a:noFill/>
                    </a:ln>
                  </pic:spPr>
                </pic:pic>
              </a:graphicData>
            </a:graphic>
          </wp:inline>
        </w:drawing>
      </w:r>
    </w:p>
    <w:p w14:paraId="444DF6B1" w14:textId="77777777" w:rsidR="00DE4C76" w:rsidRPr="007C0671" w:rsidRDefault="007C0671" w:rsidP="007D65F9">
      <w:pPr>
        <w:rPr>
          <w:b/>
          <w:sz w:val="16"/>
          <w:szCs w:val="16"/>
        </w:rPr>
      </w:pPr>
      <w:r w:rsidRPr="007C0671">
        <w:rPr>
          <w:sz w:val="16"/>
          <w:szCs w:val="16"/>
        </w:rPr>
        <w:t xml:space="preserve">* Eerste Kamer en Tweede Kamer maken geen gebruik van startbudgetten bij VJN. </w:t>
      </w:r>
    </w:p>
    <w:p w14:paraId="7DFDCB53" w14:textId="77777777" w:rsidR="007C0671" w:rsidRDefault="007C0671" w:rsidP="007D65F9">
      <w:pPr>
        <w:rPr>
          <w:b/>
        </w:rPr>
      </w:pPr>
    </w:p>
    <w:p w14:paraId="0C6E25FE" w14:textId="77777777" w:rsidR="00CE5398" w:rsidRDefault="00365700" w:rsidP="00CE5398">
      <w:pPr>
        <w:ind w:firstLine="708"/>
        <w:rPr>
          <w:b/>
        </w:rPr>
      </w:pPr>
      <w:r>
        <w:rPr>
          <w:b/>
        </w:rPr>
        <w:t>4</w:t>
      </w:r>
      <w:r w:rsidR="006139E0">
        <w:rPr>
          <w:b/>
        </w:rPr>
        <w:t xml:space="preserve">.3. </w:t>
      </w:r>
      <w:r w:rsidR="008B0953">
        <w:rPr>
          <w:b/>
        </w:rPr>
        <w:t>Toekenning aanvullende mid</w:t>
      </w:r>
      <w:r w:rsidR="00CE5398">
        <w:rPr>
          <w:b/>
        </w:rPr>
        <w:t>delen Rijksonderdelen 2021-2026</w:t>
      </w:r>
    </w:p>
    <w:p w14:paraId="78B4380B" w14:textId="77777777" w:rsidR="002F4731" w:rsidRDefault="00D87DAC" w:rsidP="00CE5398">
      <w:r>
        <w:t>Op basis van de per 1 juli aangeleverde organisatie-specifieke plannen van Rijksonderdelen kunnen aa</w:t>
      </w:r>
      <w:r w:rsidR="00971D0B">
        <w:t>nvullende middelen voor 2021</w:t>
      </w:r>
      <w:r>
        <w:t xml:space="preserve"> worden toegekend</w:t>
      </w:r>
      <w:r w:rsidR="00971D0B">
        <w:t xml:space="preserve"> en middelen voor 2022 worden gereserveerd</w:t>
      </w:r>
      <w:r>
        <w:t>.</w:t>
      </w:r>
      <w:r w:rsidR="00CE5398">
        <w:t xml:space="preserve"> </w:t>
      </w:r>
      <w:r w:rsidR="002F4731">
        <w:t xml:space="preserve">Ook </w:t>
      </w:r>
      <w:r w:rsidR="00CE5398">
        <w:t xml:space="preserve">budgethouders van geoormerkte middelen </w:t>
      </w:r>
      <w:r w:rsidR="002F4731">
        <w:t xml:space="preserve">kunnen </w:t>
      </w:r>
      <w:r w:rsidR="00CE5398">
        <w:t xml:space="preserve">met gebruik van het format voor actieplannen (bijlage 1 van Open op Orde) vanaf 1 juli een verzoek indienen </w:t>
      </w:r>
      <w:r w:rsidR="002F4731">
        <w:t xml:space="preserve">om middelen te reserveren voor 2022. </w:t>
      </w:r>
    </w:p>
    <w:p w14:paraId="34D6F5BC" w14:textId="77777777" w:rsidR="008541AF" w:rsidRDefault="00CE5398" w:rsidP="008B0953">
      <w:r>
        <w:t xml:space="preserve">De actieplannen moeten inzichtelijk maken welke verbeteringen realiseerbaar zijn op welke termijn en welke bekostiging daarbij aanvullend nodig is. Het team </w:t>
      </w:r>
      <w:proofErr w:type="spellStart"/>
      <w:r>
        <w:t>beleidscontrol</w:t>
      </w:r>
      <w:proofErr w:type="spellEnd"/>
      <w:r>
        <w:t xml:space="preserve"> van de regeringscommissaris zal deze plannen i.s.m. CIO Rijk, </w:t>
      </w:r>
    </w:p>
    <w:p w14:paraId="359DEAF7" w14:textId="77777777" w:rsidR="00AE3A70" w:rsidRDefault="00CE5398" w:rsidP="008B0953">
      <w:r>
        <w:t>de ADR en de Inspectie O&amp;E in de periode juli – augustus voorzien van een inhoudelijke en financiële beoordeling. De Rijksonderdelen gebruiken deze periode om zelf een uitvoeringstoets uit te voeren op de eigen plannen, om te waarborgen dat</w:t>
      </w:r>
      <w:r w:rsidRPr="00CE5398">
        <w:t xml:space="preserve"> de gestelde ambities in lijn zijn met de uitvoerbaarheid binnen de looptijd van dit programma. </w:t>
      </w:r>
    </w:p>
    <w:p w14:paraId="064BCC04" w14:textId="77777777" w:rsidR="00B52D48" w:rsidRDefault="00B52D48" w:rsidP="008B0953"/>
    <w:p w14:paraId="24DE7778" w14:textId="77777777" w:rsidR="00CD56F2" w:rsidRDefault="00CE5398" w:rsidP="008B0953">
      <w:r w:rsidRPr="00CE5398">
        <w:lastRenderedPageBreak/>
        <w:t>Op basis van de</w:t>
      </w:r>
      <w:r>
        <w:t xml:space="preserve"> beoordeelde plannen en</w:t>
      </w:r>
      <w:r w:rsidRPr="00CE5398">
        <w:t xml:space="preserve"> uitvoeringstoetsen wordt een centrale </w:t>
      </w:r>
      <w:proofErr w:type="spellStart"/>
      <w:r w:rsidRPr="00CE5398">
        <w:t>roadmap</w:t>
      </w:r>
      <w:proofErr w:type="spellEnd"/>
      <w:r w:rsidRPr="00CE5398">
        <w:t xml:space="preserve"> </w:t>
      </w:r>
      <w:r w:rsidR="002051B1">
        <w:t xml:space="preserve">opgezet inclusief kritisch pad </w:t>
      </w:r>
      <w:r w:rsidRPr="00CE5398">
        <w:t>bij die onderwerpen waar projecten onde</w:t>
      </w:r>
      <w:r w:rsidR="00052AE2">
        <w:t xml:space="preserve">rlinge afhankelijkheden kennen. </w:t>
      </w:r>
      <w:r w:rsidRPr="00CE5398">
        <w:t xml:space="preserve">De </w:t>
      </w:r>
      <w:proofErr w:type="spellStart"/>
      <w:r w:rsidRPr="00CE5398">
        <w:t>roadmap</w:t>
      </w:r>
      <w:proofErr w:type="spellEnd"/>
      <w:r w:rsidRPr="00CE5398">
        <w:t xml:space="preserve"> zal binnen de P&amp;C-cyclus van het programma worden geactualiseerd.</w:t>
      </w:r>
      <w:r>
        <w:t xml:space="preserve"> </w:t>
      </w:r>
    </w:p>
    <w:p w14:paraId="0599EB0C" w14:textId="77777777" w:rsidR="009C797F" w:rsidRDefault="009C797F" w:rsidP="008B0953"/>
    <w:p w14:paraId="7CDAE487" w14:textId="77777777" w:rsidR="00052AE2" w:rsidRDefault="00052AE2" w:rsidP="008B0953">
      <w:r>
        <w:t xml:space="preserve">De op 1 juli aangeleverde actieplannen moeten t.b.v. een tijdige en goede financiële beoordeling voldoen aan de volgende voorwaarden: </w:t>
      </w:r>
    </w:p>
    <w:p w14:paraId="747DFF95" w14:textId="77777777" w:rsidR="00052AE2" w:rsidRDefault="00052AE2" w:rsidP="00592B56">
      <w:pPr>
        <w:pStyle w:val="Lijstalinea"/>
        <w:numPr>
          <w:ilvl w:val="0"/>
          <w:numId w:val="41"/>
        </w:numPr>
      </w:pPr>
      <w:r>
        <w:t>Plannen worden ui</w:t>
      </w:r>
      <w:r w:rsidR="00592B56">
        <w:t>terlijk 1 juli 2021 ingediend. Voor p</w:t>
      </w:r>
      <w:r>
        <w:t>lannen die na deze datum worden ingeleverd</w:t>
      </w:r>
      <w:r w:rsidR="00592B56">
        <w:t xml:space="preserve"> </w:t>
      </w:r>
      <w:r w:rsidR="00592B56" w:rsidRPr="00592B56">
        <w:t>die ná de deadline binnenk</w:t>
      </w:r>
      <w:r w:rsidR="00592B56">
        <w:t>omen kan niet worden gegarandeerd dat deze tijdig beoordeeld kunnen</w:t>
      </w:r>
      <w:r w:rsidR="00592B56" w:rsidRPr="00592B56">
        <w:t xml:space="preserve"> worden voor aanvullende financiering in 2021.</w:t>
      </w:r>
      <w:r>
        <w:t xml:space="preserve"> </w:t>
      </w:r>
    </w:p>
    <w:p w14:paraId="20C2F0BD" w14:textId="77777777" w:rsidR="00C61055" w:rsidRDefault="00052AE2" w:rsidP="00C61055">
      <w:pPr>
        <w:pStyle w:val="Lijstalinea"/>
        <w:numPr>
          <w:ilvl w:val="0"/>
          <w:numId w:val="41"/>
        </w:numPr>
      </w:pPr>
      <w:r>
        <w:t>Plannen worden aangeleverd conform het format voor plannen van Rijksorganisati</w:t>
      </w:r>
      <w:r w:rsidR="00C61055">
        <w:t>es (Bijlage 1 van Open op Orde), uitgesplitst per actielijn:</w:t>
      </w:r>
    </w:p>
    <w:p w14:paraId="719A5501" w14:textId="77777777" w:rsidR="00C61055" w:rsidRDefault="00C76461" w:rsidP="00C61055">
      <w:pPr>
        <w:pStyle w:val="Lijstalinea"/>
        <w:numPr>
          <w:ilvl w:val="1"/>
          <w:numId w:val="45"/>
        </w:numPr>
      </w:pPr>
      <w:r>
        <w:t>Professionals</w:t>
      </w:r>
    </w:p>
    <w:p w14:paraId="48BBF91B" w14:textId="77777777" w:rsidR="00C61055" w:rsidRDefault="00C61055" w:rsidP="00C61055">
      <w:pPr>
        <w:pStyle w:val="Lijstalinea"/>
        <w:numPr>
          <w:ilvl w:val="1"/>
          <w:numId w:val="45"/>
        </w:numPr>
      </w:pPr>
      <w:r>
        <w:t xml:space="preserve">Volume en aard van informatie </w:t>
      </w:r>
    </w:p>
    <w:p w14:paraId="6E505074" w14:textId="77777777" w:rsidR="00C61055" w:rsidRDefault="00C61055" w:rsidP="00C61055">
      <w:pPr>
        <w:pStyle w:val="Lijstalinea"/>
        <w:numPr>
          <w:ilvl w:val="1"/>
          <w:numId w:val="45"/>
        </w:numPr>
      </w:pPr>
      <w:r>
        <w:t xml:space="preserve">Informatiesystemen </w:t>
      </w:r>
    </w:p>
    <w:p w14:paraId="1A2B7591" w14:textId="77777777" w:rsidR="00C61055" w:rsidRDefault="00C61055" w:rsidP="00C61055">
      <w:pPr>
        <w:pStyle w:val="Lijstalinea"/>
        <w:numPr>
          <w:ilvl w:val="1"/>
          <w:numId w:val="45"/>
        </w:numPr>
      </w:pPr>
      <w:r>
        <w:t xml:space="preserve">Bestuur en naleving </w:t>
      </w:r>
    </w:p>
    <w:p w14:paraId="104A063C" w14:textId="77777777" w:rsidR="00971D0B" w:rsidRDefault="00052AE2" w:rsidP="00C61055">
      <w:pPr>
        <w:pStyle w:val="Lijstalinea"/>
        <w:numPr>
          <w:ilvl w:val="0"/>
          <w:numId w:val="41"/>
        </w:numPr>
      </w:pPr>
      <w:r>
        <w:t>In het veld ‘Financiële Onderbouwing’ wordt toegelicht hoe de specifiek</w:t>
      </w:r>
      <w:r w:rsidR="002051B1">
        <w:t>e besteding van middelen eruitz</w:t>
      </w:r>
      <w:r>
        <w:t>iet, inclusief de wijze waarop het startbudget is</w:t>
      </w:r>
      <w:r w:rsidR="00971D0B">
        <w:t>/wordt</w:t>
      </w:r>
      <w:r>
        <w:t xml:space="preserve"> besteed.</w:t>
      </w:r>
    </w:p>
    <w:p w14:paraId="02DDD503" w14:textId="77777777" w:rsidR="002F4731" w:rsidRDefault="002F4731" w:rsidP="002F4731">
      <w:pPr>
        <w:pStyle w:val="Lijstalinea"/>
        <w:numPr>
          <w:ilvl w:val="0"/>
          <w:numId w:val="41"/>
        </w:numPr>
      </w:pPr>
      <w:r w:rsidRPr="002F4731">
        <w:t>Voor het opvoeren van capaciteit moet worden gerek</w:t>
      </w:r>
      <w:r>
        <w:t>end met het HOT-tarief 2021 + overhead +</w:t>
      </w:r>
      <w:r w:rsidRPr="002F4731">
        <w:t xml:space="preserve"> 9% staf.</w:t>
      </w:r>
    </w:p>
    <w:p w14:paraId="134183D2" w14:textId="77777777" w:rsidR="005C130D" w:rsidRDefault="005C130D" w:rsidP="005C130D">
      <w:pPr>
        <w:pStyle w:val="Lijstalinea"/>
        <w:numPr>
          <w:ilvl w:val="0"/>
          <w:numId w:val="41"/>
        </w:numPr>
      </w:pPr>
      <w:r w:rsidRPr="005C130D">
        <w:t xml:space="preserve">Door de CISO Rijk wordt geadviseerd om, conform de door de Cyber Security Raad gestelde maatstaf, bij de (door)ontwikkeling en het beheer van informatiesystemen rekening te houden met 10% kosten voor passende informatiebeveiligingsmaatregelen.       </w:t>
      </w:r>
    </w:p>
    <w:p w14:paraId="536ADDD1" w14:textId="77777777" w:rsidR="00971D0B" w:rsidRDefault="00971D0B" w:rsidP="00A51CD4">
      <w:pPr>
        <w:pStyle w:val="Lijstalinea"/>
        <w:numPr>
          <w:ilvl w:val="0"/>
          <w:numId w:val="41"/>
        </w:numPr>
      </w:pPr>
      <w:r>
        <w:t xml:space="preserve">Voor Rijksonderdelen zoals agentschappen of ZBO’s met een personele </w:t>
      </w:r>
      <w:r w:rsidR="00C61055">
        <w:t xml:space="preserve">omvang van 500 fte of meer moet </w:t>
      </w:r>
      <w:r w:rsidR="00197C60">
        <w:t xml:space="preserve">sowieso </w:t>
      </w:r>
      <w:r w:rsidR="00C61055">
        <w:t>een organisatie-specifiek plan worden aangeleverd, conform format en uitgesplitst per actielijn</w:t>
      </w:r>
      <w:r>
        <w:t>.</w:t>
      </w:r>
      <w:r w:rsidR="00B52D48">
        <w:t xml:space="preserve"> </w:t>
      </w:r>
      <w:r w:rsidR="00C61055">
        <w:t xml:space="preserve">Plannen t.b.v. kleinere Rijksonderdelen mogen geabstraheerd worden verwerkt in de plannen van het </w:t>
      </w:r>
      <w:r w:rsidR="00197C60">
        <w:t>moeder</w:t>
      </w:r>
      <w:r w:rsidR="00C61055">
        <w:t>departement zelf, met h</w:t>
      </w:r>
      <w:r w:rsidR="00197C60">
        <w:t xml:space="preserve">et verzoek daarbij aan te geven welke organisaties daar specifiek in meedraaien. </w:t>
      </w:r>
      <w:r w:rsidR="00B52D48">
        <w:t>Minister</w:t>
      </w:r>
      <w:r w:rsidR="00197C60">
        <w:t>ies zorgen primair zelf dat de</w:t>
      </w:r>
      <w:r w:rsidR="00B52D48">
        <w:t xml:space="preserve"> ingevulde formats aan de gestelde eisen voldoen. Het team Regeringscom</w:t>
      </w:r>
      <w:r w:rsidR="00197C60">
        <w:t>missaris zal de plannen van</w:t>
      </w:r>
      <w:r w:rsidR="00B52D48">
        <w:t xml:space="preserve"> dienstonderdelen en ZBO’s vervolgens marginaal toetsen. </w:t>
      </w:r>
      <w:r>
        <w:t xml:space="preserve">Het overzicht van de betreffende organisaties </w:t>
      </w:r>
      <w:r w:rsidR="00197C60">
        <w:t xml:space="preserve">(&gt;500 fte) </w:t>
      </w:r>
      <w:r>
        <w:t xml:space="preserve">is bijgesloten op de </w:t>
      </w:r>
      <w:r w:rsidR="009C797F">
        <w:t>laatste pagina van deze notitie</w:t>
      </w:r>
      <w:r>
        <w:t xml:space="preserve">. </w:t>
      </w:r>
    </w:p>
    <w:p w14:paraId="45CC7331" w14:textId="77777777" w:rsidR="00206DA1" w:rsidRDefault="00971D0B" w:rsidP="00A51CD4">
      <w:pPr>
        <w:pStyle w:val="Lijstalinea"/>
        <w:numPr>
          <w:ilvl w:val="0"/>
          <w:numId w:val="41"/>
        </w:numPr>
      </w:pPr>
      <w:r>
        <w:t>De ministeries dragen</w:t>
      </w:r>
      <w:r w:rsidR="002051B1">
        <w:t xml:space="preserve"> zorg voor een bundeling van </w:t>
      </w:r>
      <w:r>
        <w:t xml:space="preserve">plannen binnen hun uitvoeringsveld </w:t>
      </w:r>
      <w:r w:rsidR="00C61055">
        <w:t xml:space="preserve">met samenvattende oplegger </w:t>
      </w:r>
      <w:r>
        <w:t>en bieden het totaalpakket voor de datum va</w:t>
      </w:r>
      <w:r w:rsidR="00C61055">
        <w:t>n 1 juli</w:t>
      </w:r>
      <w:r>
        <w:t>.</w:t>
      </w:r>
      <w:r w:rsidR="00B52D48">
        <w:t xml:space="preserve"> </w:t>
      </w:r>
      <w:r>
        <w:t xml:space="preserve">Voor de </w:t>
      </w:r>
      <w:proofErr w:type="spellStart"/>
      <w:r>
        <w:t>Sui</w:t>
      </w:r>
      <w:proofErr w:type="spellEnd"/>
      <w:r>
        <w:t xml:space="preserve"> </w:t>
      </w:r>
      <w:proofErr w:type="spellStart"/>
      <w:r>
        <w:t>Generis</w:t>
      </w:r>
      <w:proofErr w:type="spellEnd"/>
      <w:r>
        <w:t>-organisaties en de Hoge Colleges van Staat worden afzonderlijk afspraken gemaakt</w:t>
      </w:r>
      <w:r w:rsidR="001D4261">
        <w:t xml:space="preserve"> over het aanbiedingsproces</w:t>
      </w:r>
      <w:r>
        <w:t>.</w:t>
      </w:r>
    </w:p>
    <w:p w14:paraId="4F6BF797" w14:textId="77777777" w:rsidR="00971D0B" w:rsidRDefault="001D4261" w:rsidP="00A51CD4">
      <w:pPr>
        <w:pStyle w:val="Lijstalinea"/>
        <w:numPr>
          <w:ilvl w:val="0"/>
          <w:numId w:val="41"/>
        </w:numPr>
      </w:pPr>
      <w:r>
        <w:t xml:space="preserve">Alle Rijksonderdelen </w:t>
      </w:r>
      <w:r w:rsidR="00206DA1">
        <w:t xml:space="preserve">dragen zorg voor een </w:t>
      </w:r>
      <w:r w:rsidR="002C2FAF">
        <w:t xml:space="preserve">goede borging van de met deze middelen bekostigde trajecten </w:t>
      </w:r>
      <w:r w:rsidR="00206DA1">
        <w:t>in de eigen planning &amp; control-cyclus</w:t>
      </w:r>
      <w:r w:rsidR="002C2FAF">
        <w:t>. Zij</w:t>
      </w:r>
      <w:r w:rsidR="00206DA1">
        <w:t xml:space="preserve"> </w:t>
      </w:r>
      <w:r w:rsidR="002C2FAF">
        <w:t xml:space="preserve">rapporteren gevraagd en ongevraagd tijdig voortgang en afwijkingen van de verwachte bestedingen. Over de opzet en frequentie van de voortgangsrapportages voor het programma volgt voor 1 juli duidelijkheid.   </w:t>
      </w:r>
      <w:r w:rsidR="00971D0B">
        <w:t xml:space="preserve">   </w:t>
      </w:r>
    </w:p>
    <w:p w14:paraId="7C063F0F" w14:textId="77777777" w:rsidR="00206DA1" w:rsidRDefault="00206DA1" w:rsidP="00206DA1"/>
    <w:p w14:paraId="16AE0F2C" w14:textId="77777777" w:rsidR="005C130D" w:rsidRDefault="00E902EF" w:rsidP="005C130D">
      <w:r>
        <w:lastRenderedPageBreak/>
        <w:t xml:space="preserve">In 2021 opgevoerde meerjarige benodigde middelen kunnen, mits positief beoordeeld, onder voorbehoud worden toegekend. De middelen worden dan bij voorjaarsnota 2022 overgemaakt voor dat boekjaar. </w:t>
      </w:r>
      <w:r w:rsidR="00206DA1">
        <w:t xml:space="preserve">Het </w:t>
      </w:r>
      <w:r>
        <w:t xml:space="preserve">opgenomen </w:t>
      </w:r>
      <w:r w:rsidR="00206DA1">
        <w:t xml:space="preserve">voorbehoud heeft betrekking op de mogelijke bijstelling van de </w:t>
      </w:r>
      <w:proofErr w:type="spellStart"/>
      <w:r w:rsidR="00206DA1">
        <w:t>roadmap</w:t>
      </w:r>
      <w:proofErr w:type="spellEnd"/>
      <w:r w:rsidR="00206DA1">
        <w:t xml:space="preserve"> van het </w:t>
      </w:r>
      <w:proofErr w:type="spellStart"/>
      <w:r>
        <w:t>Rijksbrede</w:t>
      </w:r>
      <w:proofErr w:type="spellEnd"/>
      <w:r>
        <w:t xml:space="preserve"> </w:t>
      </w:r>
      <w:r w:rsidR="00206DA1">
        <w:t xml:space="preserve">programma in 2022, waar bijvoorbeeld gekozen kan worden om onderdelen van de generieke of organisatie-specifieke plannen te </w:t>
      </w:r>
      <w:proofErr w:type="spellStart"/>
      <w:r w:rsidR="00206DA1">
        <w:t>herprioriteren</w:t>
      </w:r>
      <w:proofErr w:type="spellEnd"/>
      <w:r w:rsidR="00206DA1">
        <w:t xml:space="preserve"> en nieuwe generieke onderdelen toe te voegen op basis van gesignaleerde behoeftes.</w:t>
      </w:r>
      <w:r w:rsidR="00206DA1" w:rsidRPr="00206DA1">
        <w:t xml:space="preserve"> </w:t>
      </w:r>
      <w:r w:rsidR="00206DA1">
        <w:t xml:space="preserve">De </w:t>
      </w:r>
      <w:proofErr w:type="spellStart"/>
      <w:r w:rsidR="00206DA1">
        <w:t>roadmap</w:t>
      </w:r>
      <w:proofErr w:type="spellEnd"/>
      <w:r w:rsidR="00206DA1">
        <w:t xml:space="preserve"> en het financiële kader zullen</w:t>
      </w:r>
      <w:r w:rsidR="00206DA1" w:rsidRPr="00206DA1">
        <w:t xml:space="preserve"> jaarlijks </w:t>
      </w:r>
      <w:r w:rsidR="00206DA1">
        <w:t xml:space="preserve">op </w:t>
      </w:r>
      <w:r w:rsidR="00206DA1" w:rsidRPr="00206DA1">
        <w:t xml:space="preserve">voordracht van </w:t>
      </w:r>
      <w:r w:rsidR="00206DA1">
        <w:t xml:space="preserve">de </w:t>
      </w:r>
      <w:r w:rsidR="00206DA1" w:rsidRPr="00206DA1">
        <w:t xml:space="preserve">regeringscommissaris </w:t>
      </w:r>
      <w:r w:rsidR="00206DA1">
        <w:t xml:space="preserve">worden </w:t>
      </w:r>
      <w:r w:rsidR="00206DA1" w:rsidRPr="00206DA1">
        <w:t>vastgesteld in ICBR en SGO, gelijktijdig met actualisatie/herijking van het generiek actieplan.</w:t>
      </w:r>
      <w:r>
        <w:t xml:space="preserve"> </w:t>
      </w:r>
    </w:p>
    <w:p w14:paraId="2E88D40A" w14:textId="77777777" w:rsidR="00592B56" w:rsidRDefault="00592B56" w:rsidP="005C130D"/>
    <w:p w14:paraId="523B614B" w14:textId="77777777" w:rsidR="002C2FAF" w:rsidRPr="005C130D" w:rsidRDefault="001F7245" w:rsidP="005C130D">
      <w:r>
        <w:rPr>
          <w:b/>
        </w:rPr>
        <w:t xml:space="preserve">Overzicht grote </w:t>
      </w:r>
      <w:r w:rsidR="002C2FAF">
        <w:rPr>
          <w:b/>
        </w:rPr>
        <w:t>uitvoeringsorganisaties (</w:t>
      </w:r>
      <w:r w:rsidR="005D505D">
        <w:rPr>
          <w:b/>
        </w:rPr>
        <w:t xml:space="preserve">o.a. </w:t>
      </w:r>
      <w:r w:rsidR="002C2FAF">
        <w:rPr>
          <w:b/>
        </w:rPr>
        <w:t xml:space="preserve">manifestgroep en ZBO’s groter dan 500 fte): </w:t>
      </w:r>
    </w:p>
    <w:p w14:paraId="4B105608" w14:textId="77777777" w:rsidR="002C2FAF" w:rsidRDefault="002C2FAF" w:rsidP="002C2FAF"/>
    <w:p w14:paraId="4CC15E4D" w14:textId="77777777" w:rsidR="002C2FAF" w:rsidRDefault="002C2FAF" w:rsidP="00A51CD4">
      <w:pPr>
        <w:pStyle w:val="Lijstalinea"/>
        <w:numPr>
          <w:ilvl w:val="0"/>
          <w:numId w:val="42"/>
        </w:numPr>
        <w:textAlignment w:val="auto"/>
      </w:pPr>
      <w:r>
        <w:t>Belastingdienst</w:t>
      </w:r>
    </w:p>
    <w:p w14:paraId="314B914E" w14:textId="77777777" w:rsidR="002C2FAF" w:rsidRDefault="002C2FAF" w:rsidP="00A51CD4">
      <w:pPr>
        <w:pStyle w:val="Lijstalinea"/>
        <w:numPr>
          <w:ilvl w:val="0"/>
          <w:numId w:val="42"/>
        </w:numPr>
        <w:textAlignment w:val="auto"/>
      </w:pPr>
      <w:r>
        <w:t>RVO</w:t>
      </w:r>
    </w:p>
    <w:p w14:paraId="3B12354D" w14:textId="77777777" w:rsidR="001F7245" w:rsidRDefault="002C2FAF" w:rsidP="001F7245">
      <w:pPr>
        <w:pStyle w:val="Lijstalinea"/>
        <w:numPr>
          <w:ilvl w:val="0"/>
          <w:numId w:val="42"/>
        </w:numPr>
        <w:textAlignment w:val="auto"/>
      </w:pPr>
      <w:r>
        <w:t>CJIB</w:t>
      </w:r>
    </w:p>
    <w:p w14:paraId="4493AE41" w14:textId="77777777" w:rsidR="002C2FAF" w:rsidRDefault="002C2FAF" w:rsidP="00A51CD4">
      <w:pPr>
        <w:pStyle w:val="Lijstalinea"/>
        <w:numPr>
          <w:ilvl w:val="0"/>
          <w:numId w:val="42"/>
        </w:numPr>
        <w:textAlignment w:val="auto"/>
      </w:pPr>
      <w:r>
        <w:t xml:space="preserve">Dienst </w:t>
      </w:r>
      <w:proofErr w:type="spellStart"/>
      <w:r>
        <w:t>Justis</w:t>
      </w:r>
      <w:proofErr w:type="spellEnd"/>
    </w:p>
    <w:p w14:paraId="7090C0F0" w14:textId="77777777" w:rsidR="005D505D" w:rsidRDefault="005D505D" w:rsidP="00A51CD4">
      <w:pPr>
        <w:pStyle w:val="Lijstalinea"/>
        <w:numPr>
          <w:ilvl w:val="0"/>
          <w:numId w:val="42"/>
        </w:numPr>
        <w:textAlignment w:val="auto"/>
      </w:pPr>
      <w:r>
        <w:t>Rijkswaterstaat</w:t>
      </w:r>
    </w:p>
    <w:p w14:paraId="7C46A268" w14:textId="77777777" w:rsidR="001F7245" w:rsidRDefault="001F7245" w:rsidP="00A51CD4">
      <w:pPr>
        <w:pStyle w:val="Lijstalinea"/>
        <w:numPr>
          <w:ilvl w:val="0"/>
          <w:numId w:val="42"/>
        </w:numPr>
        <w:textAlignment w:val="auto"/>
      </w:pPr>
      <w:r>
        <w:t>DJI</w:t>
      </w:r>
    </w:p>
    <w:p w14:paraId="3CD16D49" w14:textId="77777777" w:rsidR="002C2FAF" w:rsidRDefault="002C2FAF" w:rsidP="00A51CD4">
      <w:pPr>
        <w:pStyle w:val="Lijstalinea"/>
        <w:numPr>
          <w:ilvl w:val="0"/>
          <w:numId w:val="42"/>
        </w:numPr>
        <w:textAlignment w:val="auto"/>
      </w:pPr>
      <w:r>
        <w:t>IND</w:t>
      </w:r>
    </w:p>
    <w:p w14:paraId="495A6CF3" w14:textId="77777777" w:rsidR="002C2FAF" w:rsidRDefault="002C2FAF" w:rsidP="00A51CD4">
      <w:pPr>
        <w:pStyle w:val="Lijstalinea"/>
        <w:numPr>
          <w:ilvl w:val="0"/>
          <w:numId w:val="42"/>
        </w:numPr>
        <w:textAlignment w:val="auto"/>
      </w:pPr>
      <w:r>
        <w:t>DUO</w:t>
      </w:r>
    </w:p>
    <w:p w14:paraId="2D12818B" w14:textId="77777777" w:rsidR="002C2FAF" w:rsidRDefault="002C2FAF" w:rsidP="00A51CD4">
      <w:pPr>
        <w:pStyle w:val="Lijstalinea"/>
        <w:numPr>
          <w:ilvl w:val="0"/>
          <w:numId w:val="42"/>
        </w:numPr>
        <w:textAlignment w:val="auto"/>
      </w:pPr>
      <w:r>
        <w:t>Kadaster</w:t>
      </w:r>
    </w:p>
    <w:p w14:paraId="3A006E1D" w14:textId="77777777" w:rsidR="002C2FAF" w:rsidRDefault="002C2FAF" w:rsidP="00A51CD4">
      <w:pPr>
        <w:pStyle w:val="Lijstalinea"/>
        <w:numPr>
          <w:ilvl w:val="0"/>
          <w:numId w:val="42"/>
        </w:numPr>
        <w:textAlignment w:val="auto"/>
      </w:pPr>
      <w:r>
        <w:t>CBS</w:t>
      </w:r>
    </w:p>
    <w:p w14:paraId="3D8D265A" w14:textId="77777777" w:rsidR="002C2FAF" w:rsidRDefault="002C2FAF" w:rsidP="00A51CD4">
      <w:pPr>
        <w:pStyle w:val="Lijstalinea"/>
        <w:numPr>
          <w:ilvl w:val="0"/>
          <w:numId w:val="42"/>
        </w:numPr>
        <w:textAlignment w:val="auto"/>
      </w:pPr>
      <w:r>
        <w:t>KvK</w:t>
      </w:r>
    </w:p>
    <w:p w14:paraId="6B052009" w14:textId="77777777" w:rsidR="002C2FAF" w:rsidRDefault="002C2FAF" w:rsidP="00A51CD4">
      <w:pPr>
        <w:pStyle w:val="Lijstalinea"/>
        <w:numPr>
          <w:ilvl w:val="0"/>
          <w:numId w:val="42"/>
        </w:numPr>
        <w:textAlignment w:val="auto"/>
      </w:pPr>
      <w:r>
        <w:t>AFM</w:t>
      </w:r>
    </w:p>
    <w:p w14:paraId="3EAAF534" w14:textId="77777777" w:rsidR="002C2FAF" w:rsidRDefault="002C2FAF" w:rsidP="00A51CD4">
      <w:pPr>
        <w:pStyle w:val="Lijstalinea"/>
        <w:numPr>
          <w:ilvl w:val="0"/>
          <w:numId w:val="42"/>
        </w:numPr>
        <w:textAlignment w:val="auto"/>
      </w:pPr>
      <w:r>
        <w:t>De Nederlandsche Bank</w:t>
      </w:r>
    </w:p>
    <w:p w14:paraId="3F8D9027" w14:textId="77777777" w:rsidR="002C2FAF" w:rsidRDefault="002C2FAF" w:rsidP="00A51CD4">
      <w:pPr>
        <w:pStyle w:val="Lijstalinea"/>
        <w:numPr>
          <w:ilvl w:val="0"/>
          <w:numId w:val="42"/>
        </w:numPr>
        <w:textAlignment w:val="auto"/>
      </w:pPr>
      <w:r>
        <w:t>CBR</w:t>
      </w:r>
    </w:p>
    <w:p w14:paraId="34DFEDDA" w14:textId="77777777" w:rsidR="002C2FAF" w:rsidRDefault="002C2FAF" w:rsidP="00A51CD4">
      <w:pPr>
        <w:pStyle w:val="Lijstalinea"/>
        <w:numPr>
          <w:ilvl w:val="0"/>
          <w:numId w:val="42"/>
        </w:numPr>
        <w:textAlignment w:val="auto"/>
      </w:pPr>
      <w:r>
        <w:t>LVNL</w:t>
      </w:r>
    </w:p>
    <w:p w14:paraId="0DB49B31" w14:textId="77777777" w:rsidR="002C2FAF" w:rsidRDefault="002C2FAF" w:rsidP="00A51CD4">
      <w:pPr>
        <w:pStyle w:val="Lijstalinea"/>
        <w:numPr>
          <w:ilvl w:val="0"/>
          <w:numId w:val="42"/>
        </w:numPr>
        <w:textAlignment w:val="auto"/>
      </w:pPr>
      <w:r>
        <w:t>RDW</w:t>
      </w:r>
    </w:p>
    <w:p w14:paraId="64B255DB" w14:textId="77777777" w:rsidR="002C2FAF" w:rsidRDefault="002C2FAF" w:rsidP="00A51CD4">
      <w:pPr>
        <w:pStyle w:val="Lijstalinea"/>
        <w:numPr>
          <w:ilvl w:val="0"/>
          <w:numId w:val="42"/>
        </w:numPr>
        <w:textAlignment w:val="auto"/>
      </w:pPr>
      <w:r>
        <w:t>COA</w:t>
      </w:r>
    </w:p>
    <w:p w14:paraId="28948F19" w14:textId="77777777" w:rsidR="002C2FAF" w:rsidRDefault="002C2FAF" w:rsidP="00A51CD4">
      <w:pPr>
        <w:pStyle w:val="Lijstalinea"/>
        <w:numPr>
          <w:ilvl w:val="0"/>
          <w:numId w:val="42"/>
        </w:numPr>
        <w:textAlignment w:val="auto"/>
      </w:pPr>
      <w:r>
        <w:t>Staatsbosbeheer</w:t>
      </w:r>
    </w:p>
    <w:p w14:paraId="66427212" w14:textId="77777777" w:rsidR="002C2FAF" w:rsidRDefault="002C2FAF" w:rsidP="00A51CD4">
      <w:pPr>
        <w:pStyle w:val="Lijstalinea"/>
        <w:numPr>
          <w:ilvl w:val="0"/>
          <w:numId w:val="42"/>
        </w:numPr>
        <w:textAlignment w:val="auto"/>
      </w:pPr>
      <w:r>
        <w:t>SVB</w:t>
      </w:r>
    </w:p>
    <w:p w14:paraId="1E1EFB07" w14:textId="77777777" w:rsidR="002C2FAF" w:rsidRDefault="002C2FAF" w:rsidP="00A51CD4">
      <w:pPr>
        <w:pStyle w:val="Lijstalinea"/>
        <w:numPr>
          <w:ilvl w:val="0"/>
          <w:numId w:val="42"/>
        </w:numPr>
        <w:textAlignment w:val="auto"/>
      </w:pPr>
      <w:r>
        <w:t>UWV</w:t>
      </w:r>
    </w:p>
    <w:p w14:paraId="2590F0E5" w14:textId="77777777" w:rsidR="002C2FAF" w:rsidRDefault="002C2FAF" w:rsidP="00A51CD4">
      <w:pPr>
        <w:pStyle w:val="Lijstalinea"/>
        <w:numPr>
          <w:ilvl w:val="0"/>
          <w:numId w:val="42"/>
        </w:numPr>
        <w:textAlignment w:val="auto"/>
      </w:pPr>
      <w:r>
        <w:t>CAK</w:t>
      </w:r>
    </w:p>
    <w:p w14:paraId="44764141" w14:textId="77777777" w:rsidR="00937833" w:rsidRDefault="002C2FAF" w:rsidP="00A51CD4">
      <w:pPr>
        <w:pStyle w:val="Lijstalinea"/>
        <w:numPr>
          <w:ilvl w:val="0"/>
          <w:numId w:val="42"/>
        </w:numPr>
        <w:textAlignment w:val="auto"/>
      </w:pPr>
      <w:r>
        <w:t>CIZ</w:t>
      </w:r>
    </w:p>
    <w:p w14:paraId="07B24012" w14:textId="77777777" w:rsidR="002C2FAF" w:rsidRDefault="002C2FAF" w:rsidP="002C2FAF">
      <w:pPr>
        <w:textAlignment w:val="auto"/>
      </w:pPr>
    </w:p>
    <w:p w14:paraId="5C50A3C4" w14:textId="77777777" w:rsidR="002C2FAF" w:rsidRDefault="002C2FAF" w:rsidP="002C2FAF">
      <w:pPr>
        <w:textAlignment w:val="auto"/>
      </w:pPr>
    </w:p>
    <w:p w14:paraId="1CA77D02" w14:textId="77777777" w:rsidR="002C2FAF" w:rsidRDefault="002C2FAF" w:rsidP="002C2FAF">
      <w:pPr>
        <w:textAlignment w:val="auto"/>
      </w:pPr>
    </w:p>
    <w:sectPr w:rsidR="002C2FAF">
      <w:headerReference w:type="even" r:id="rId10"/>
      <w:headerReference w:type="default" r:id="rId11"/>
      <w:footerReference w:type="even" r:id="rId12"/>
      <w:footerReference w:type="default" r:id="rId13"/>
      <w:headerReference w:type="first" r:id="rId14"/>
      <w:footerReference w:type="first" r:id="rId15"/>
      <w:pgSz w:w="11905" w:h="16837"/>
      <w:pgMar w:top="3967" w:right="2822" w:bottom="1080" w:left="1580"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03852" w14:textId="77777777" w:rsidR="00247427" w:rsidRDefault="00247427">
      <w:pPr>
        <w:spacing w:line="240" w:lineRule="auto"/>
      </w:pPr>
      <w:r>
        <w:separator/>
      </w:r>
    </w:p>
  </w:endnote>
  <w:endnote w:type="continuationSeparator" w:id="0">
    <w:p w14:paraId="4A3B5162" w14:textId="77777777" w:rsidR="00247427" w:rsidRDefault="002474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B8FC" w14:textId="77777777" w:rsidR="00C61055" w:rsidRDefault="00C6105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7667" w14:textId="77777777" w:rsidR="00C61055" w:rsidRDefault="00C6105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C0F56" w14:textId="77777777" w:rsidR="00C61055" w:rsidRDefault="00C61055">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B839E" w14:textId="77777777" w:rsidR="00247427" w:rsidRDefault="00247427">
      <w:pPr>
        <w:spacing w:line="240" w:lineRule="auto"/>
      </w:pPr>
      <w:r>
        <w:separator/>
      </w:r>
    </w:p>
  </w:footnote>
  <w:footnote w:type="continuationSeparator" w:id="0">
    <w:p w14:paraId="4EDD31D1" w14:textId="77777777" w:rsidR="00247427" w:rsidRDefault="00247427">
      <w:pPr>
        <w:spacing w:line="240" w:lineRule="auto"/>
      </w:pPr>
      <w:r>
        <w:continuationSeparator/>
      </w:r>
    </w:p>
  </w:footnote>
  <w:footnote w:id="1">
    <w:p w14:paraId="607C6282" w14:textId="77777777" w:rsidR="00C61055" w:rsidRDefault="00C61055">
      <w:pPr>
        <w:pStyle w:val="Voetnoottekst"/>
      </w:pPr>
      <w:r>
        <w:rPr>
          <w:rStyle w:val="Voetnootmarkering"/>
        </w:rPr>
        <w:footnoteRef/>
      </w:r>
      <w:r>
        <w:t xml:space="preserve"> </w:t>
      </w:r>
      <w:r w:rsidRPr="00EB3E4D">
        <w:rPr>
          <w:sz w:val="16"/>
          <w:szCs w:val="16"/>
        </w:rPr>
        <w:t>Voor het aantal te realiseren aansluitingen en het te behalen volume actief openbare informatie op PLOOI in 2021 en volgende jaren geldt een onzekerheidsmarge. D.m.v. nacalculatie kunnen middelen voor PLOOI in 2021 en de verdere reeks tussentijds worden bijgesteld.</w:t>
      </w:r>
      <w:r>
        <w:t xml:space="preserve">    </w:t>
      </w:r>
    </w:p>
  </w:footnote>
  <w:footnote w:id="2">
    <w:p w14:paraId="1EDC0519" w14:textId="77777777" w:rsidR="00C61055" w:rsidRPr="00F74433" w:rsidRDefault="00C61055" w:rsidP="00F74433">
      <w:pPr>
        <w:pStyle w:val="Voetnoottekst"/>
      </w:pPr>
      <w:r>
        <w:rPr>
          <w:rStyle w:val="Voetnootmarkering"/>
        </w:rPr>
        <w:footnoteRef/>
      </w:r>
      <w:r>
        <w:t xml:space="preserve"> </w:t>
      </w:r>
      <w:r w:rsidRPr="00F74433">
        <w:rPr>
          <w:sz w:val="16"/>
          <w:szCs w:val="16"/>
        </w:rPr>
        <w:t>PBLQ &amp;</w:t>
      </w:r>
      <w:r>
        <w:rPr>
          <w:sz w:val="16"/>
          <w:szCs w:val="16"/>
        </w:rPr>
        <w:t xml:space="preserve"> </w:t>
      </w:r>
      <w:r w:rsidRPr="00F74433">
        <w:rPr>
          <w:sz w:val="16"/>
          <w:szCs w:val="16"/>
        </w:rPr>
        <w:t xml:space="preserve">Ecorys, Kosten </w:t>
      </w:r>
      <w:r>
        <w:rPr>
          <w:sz w:val="16"/>
          <w:szCs w:val="16"/>
        </w:rPr>
        <w:t xml:space="preserve">en </w:t>
      </w:r>
      <w:r w:rsidRPr="00F74433">
        <w:rPr>
          <w:sz w:val="16"/>
          <w:szCs w:val="16"/>
        </w:rPr>
        <w:t>Baten Analyse</w:t>
      </w:r>
      <w:r>
        <w:t xml:space="preserve"> - </w:t>
      </w:r>
      <w:r w:rsidRPr="00F74433">
        <w:rPr>
          <w:sz w:val="16"/>
          <w:szCs w:val="16"/>
        </w:rPr>
        <w:t>Meerjarenplan Verbetering Informatiehuishouding RDDI</w:t>
      </w:r>
      <w:r>
        <w:rPr>
          <w:sz w:val="16"/>
          <w:szCs w:val="16"/>
        </w:rPr>
        <w:t>, februari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9CBB" w14:textId="77777777" w:rsidR="00C61055" w:rsidRDefault="00C6105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39F3" w14:textId="77777777" w:rsidR="00C61055" w:rsidRDefault="00C61055">
    <w:pPr>
      <w:pStyle w:val="MarginlessContainer"/>
    </w:pPr>
    <w:r>
      <w:rPr>
        <w:noProof/>
      </w:rPr>
      <mc:AlternateContent>
        <mc:Choice Requires="wps">
          <w:drawing>
            <wp:anchor distT="0" distB="0" distL="0" distR="0" simplePos="0" relativeHeight="251652096" behindDoc="0" locked="1" layoutInCell="1" allowOverlap="1" wp14:anchorId="74F188B2" wp14:editId="71160FC5">
              <wp:simplePos x="0" y="0"/>
              <wp:positionH relativeFrom="page">
                <wp:posOffset>1006475</wp:posOffset>
              </wp:positionH>
              <wp:positionV relativeFrom="page">
                <wp:posOffset>10223500</wp:posOffset>
              </wp:positionV>
              <wp:extent cx="1799589" cy="152400"/>
              <wp:effectExtent l="0" t="0" r="0" b="0"/>
              <wp:wrapNone/>
              <wp:docPr id="12"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478F6A14" w14:textId="77777777" w:rsidR="00C61055" w:rsidRDefault="00C61055"/>
                      </w:txbxContent>
                    </wps:txbx>
                    <wps:bodyPr vert="horz" wrap="square" lIns="0" tIns="0" rIns="0" bIns="0" anchor="t" anchorCtr="0"/>
                  </wps:wsp>
                </a:graphicData>
              </a:graphic>
            </wp:anchor>
          </w:drawing>
        </mc:Choice>
        <mc:Fallback>
          <w:pict>
            <v:shapetype w14:anchorId="74F188B2"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0s9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w1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dC9LPbQBAABIAwAADgAAAAAAAAAAAAAAAAAuAgAAZHJzL2Uy&#10;b0RvYy54bWxQSwECLQAUAAYACAAAACEAGWxxseEAAAANAQAADwAAAAAAAAAAAAAAAAAOBAAAZHJz&#10;L2Rvd25yZXYueG1sUEsFBgAAAAAEAAQA8wAAABwFAAAAAA==&#10;" filled="f" stroked="f">
              <v:textbox inset="0,0,0,0">
                <w:txbxContent>
                  <w:p w14:paraId="478F6A14" w14:textId="77777777" w:rsidR="00C61055" w:rsidRDefault="00C6105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667E330" wp14:editId="0A839490">
              <wp:simplePos x="0" y="0"/>
              <wp:positionH relativeFrom="page">
                <wp:posOffset>5932170</wp:posOffset>
              </wp:positionH>
              <wp:positionV relativeFrom="page">
                <wp:posOffset>10223500</wp:posOffset>
              </wp:positionV>
              <wp:extent cx="1247775" cy="143510"/>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6E6C88EE" w14:textId="77777777" w:rsidR="00C61055" w:rsidRDefault="00C61055">
                          <w:pPr>
                            <w:pStyle w:val="Referentiegegevens"/>
                          </w:pPr>
                          <w:r>
                            <w:t xml:space="preserve">Pagina </w:t>
                          </w:r>
                          <w:r>
                            <w:fldChar w:fldCharType="begin"/>
                          </w:r>
                          <w:r>
                            <w:instrText>PAGE</w:instrText>
                          </w:r>
                          <w:r>
                            <w:fldChar w:fldCharType="separate"/>
                          </w:r>
                          <w:r w:rsidR="00D6253F">
                            <w:rPr>
                              <w:noProof/>
                            </w:rPr>
                            <w:t>12</w:t>
                          </w:r>
                          <w:r>
                            <w:fldChar w:fldCharType="end"/>
                          </w:r>
                          <w:r>
                            <w:t xml:space="preserve"> van </w:t>
                          </w:r>
                          <w:r>
                            <w:fldChar w:fldCharType="begin"/>
                          </w:r>
                          <w:r>
                            <w:instrText>NUMPAGES</w:instrText>
                          </w:r>
                          <w:r>
                            <w:fldChar w:fldCharType="separate"/>
                          </w:r>
                          <w:r w:rsidR="00D6253F">
                            <w:rPr>
                              <w:noProof/>
                            </w:rPr>
                            <w:t>12</w:t>
                          </w:r>
                          <w:r>
                            <w:fldChar w:fldCharType="end"/>
                          </w:r>
                        </w:p>
                      </w:txbxContent>
                    </wps:txbx>
                    <wps:bodyPr vert="horz" wrap="square" lIns="0" tIns="0" rIns="0" bIns="0" anchor="t" anchorCtr="0"/>
                  </wps:wsp>
                </a:graphicData>
              </a:graphic>
            </wp:anchor>
          </w:drawing>
        </mc:Choice>
        <mc:Fallback>
          <w:pict>
            <v:shape w14:anchorId="7667E330" id="Paginanummer vervolgpagina" o:spid="_x0000_s1027" type="#_x0000_t202" style="position:absolute;margin-left:467.1pt;margin-top:805pt;width:98.25pt;height:11.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" filled="f" stroked="f">
              <v:textbox inset="0,0,0,0">
                <w:txbxContent>
                  <w:p w14:paraId="6E6C88EE" w14:textId="77777777" w:rsidR="00C61055" w:rsidRDefault="00C61055">
                    <w:pPr>
                      <w:pStyle w:val="Referentiegegevens"/>
                    </w:pPr>
                    <w:r>
                      <w:t xml:space="preserve">Pagina </w:t>
                    </w:r>
                    <w:r>
                      <w:fldChar w:fldCharType="begin"/>
                    </w:r>
                    <w:r>
                      <w:instrText>PAGE</w:instrText>
                    </w:r>
                    <w:r>
                      <w:fldChar w:fldCharType="separate"/>
                    </w:r>
                    <w:r w:rsidR="00D6253F">
                      <w:rPr>
                        <w:noProof/>
                      </w:rPr>
                      <w:t>12</w:t>
                    </w:r>
                    <w:r>
                      <w:fldChar w:fldCharType="end"/>
                    </w:r>
                    <w:r>
                      <w:t xml:space="preserve"> van </w:t>
                    </w:r>
                    <w:r>
                      <w:fldChar w:fldCharType="begin"/>
                    </w:r>
                    <w:r>
                      <w:instrText>NUMPAGES</w:instrText>
                    </w:r>
                    <w:r>
                      <w:fldChar w:fldCharType="separate"/>
                    </w:r>
                    <w:r w:rsidR="00D6253F">
                      <w:rPr>
                        <w:noProof/>
                      </w:rPr>
                      <w:t>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4E70FFB" wp14:editId="5F5D0ED0">
              <wp:simplePos x="0" y="0"/>
              <wp:positionH relativeFrom="page">
                <wp:posOffset>5932170</wp:posOffset>
              </wp:positionH>
              <wp:positionV relativeFrom="page">
                <wp:posOffset>1925955</wp:posOffset>
              </wp:positionV>
              <wp:extent cx="1247140" cy="8028940"/>
              <wp:effectExtent l="0" t="0" r="0" b="0"/>
              <wp:wrapNone/>
              <wp:docPr id="14" name="Colofon vervolgpagina"/>
              <wp:cNvGraphicFramePr/>
              <a:graphic xmlns:a="http://schemas.openxmlformats.org/drawingml/2006/main">
                <a:graphicData uri="http://schemas.microsoft.com/office/word/2010/wordprocessingShape">
                  <wps:wsp>
                    <wps:cNvSpPr txBox="1"/>
                    <wps:spPr>
                      <a:xfrm>
                        <a:off x="0" y="0"/>
                        <a:ext cx="1247140" cy="8028940"/>
                      </a:xfrm>
                      <a:prstGeom prst="rect">
                        <a:avLst/>
                      </a:prstGeom>
                      <a:noFill/>
                    </wps:spPr>
                    <wps:txbx>
                      <w:txbxContent>
                        <w:p w14:paraId="7E812E97" w14:textId="77777777" w:rsidR="00C61055" w:rsidRDefault="00C61055">
                          <w:pPr>
                            <w:pStyle w:val="Kopjereferentiegegevens"/>
                          </w:pPr>
                          <w:r>
                            <w:t>Datum</w:t>
                          </w:r>
                        </w:p>
                        <w:p w14:paraId="3CE5576F" w14:textId="77777777" w:rsidR="00C61055" w:rsidRDefault="00750F80">
                          <w:pPr>
                            <w:pStyle w:val="Referentiegegevens"/>
                          </w:pPr>
                          <w:fldSimple w:instr=" DOCPROPERTY  &quot;Datum&quot;  \* MERGEFORMAT ">
                            <w:r w:rsidR="00C61055">
                              <w:t>31 maart 2021</w:t>
                            </w:r>
                          </w:fldSimple>
                        </w:p>
                        <w:p w14:paraId="45580B79" w14:textId="77777777" w:rsidR="00C61055" w:rsidRDefault="00C61055">
                          <w:pPr>
                            <w:pStyle w:val="WitregelW1"/>
                          </w:pPr>
                        </w:p>
                        <w:p w14:paraId="5DBD0C1A" w14:textId="77777777" w:rsidR="00C61055" w:rsidRDefault="00C61055">
                          <w:pPr>
                            <w:pStyle w:val="Kopjereferentiegegevens"/>
                          </w:pPr>
                          <w:r>
                            <w:t>Kenmerk</w:t>
                          </w:r>
                        </w:p>
                        <w:p w14:paraId="388637E8" w14:textId="77777777" w:rsidR="00C61055" w:rsidRDefault="00750F80">
                          <w:pPr>
                            <w:pStyle w:val="Referentiegegevens"/>
                          </w:pPr>
                          <w:fldSimple w:instr=" DOCPROPERTY  &quot;Kenmerk&quot;  \* MERGEFORMAT ">
                            <w:r w:rsidR="00C61055">
                              <w:t>2021-0000134365</w:t>
                            </w:r>
                          </w:fldSimple>
                        </w:p>
                      </w:txbxContent>
                    </wps:txbx>
                    <wps:bodyPr vert="horz" wrap="square" lIns="0" tIns="0" rIns="0" bIns="0" anchor="t" anchorCtr="0"/>
                  </wps:wsp>
                </a:graphicData>
              </a:graphic>
            </wp:anchor>
          </w:drawing>
        </mc:Choice>
        <mc:Fallback>
          <w:pict>
            <v:shape w14:anchorId="74E70FFB" id="Colofon vervolgpagina" o:spid="_x0000_s1028" type="#_x0000_t202" style="position:absolute;margin-left:467.1pt;margin-top:151.65pt;width:98.2pt;height:632.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" filled="f" stroked="f">
              <v:textbox inset="0,0,0,0">
                <w:txbxContent>
                  <w:p w14:paraId="7E812E97" w14:textId="77777777" w:rsidR="00C61055" w:rsidRDefault="00C61055">
                    <w:pPr>
                      <w:pStyle w:val="Kopjereferentiegegevens"/>
                    </w:pPr>
                    <w:r>
                      <w:t>Datum</w:t>
                    </w:r>
                  </w:p>
                  <w:p w14:paraId="3CE5576F" w14:textId="77777777" w:rsidR="00C61055" w:rsidRDefault="00750F80">
                    <w:pPr>
                      <w:pStyle w:val="Referentiegegevens"/>
                    </w:pPr>
                    <w:fldSimple w:instr=" DOCPROPERTY  &quot;Datum&quot;  \* MERGEFORMAT ">
                      <w:r w:rsidR="00C61055">
                        <w:t>31 maart 2021</w:t>
                      </w:r>
                    </w:fldSimple>
                  </w:p>
                  <w:p w14:paraId="45580B79" w14:textId="77777777" w:rsidR="00C61055" w:rsidRDefault="00C61055">
                    <w:pPr>
                      <w:pStyle w:val="WitregelW1"/>
                    </w:pPr>
                  </w:p>
                  <w:p w14:paraId="5DBD0C1A" w14:textId="77777777" w:rsidR="00C61055" w:rsidRDefault="00C61055">
                    <w:pPr>
                      <w:pStyle w:val="Kopjereferentiegegevens"/>
                    </w:pPr>
                    <w:r>
                      <w:t>Kenmerk</w:t>
                    </w:r>
                  </w:p>
                  <w:p w14:paraId="388637E8" w14:textId="77777777" w:rsidR="00C61055" w:rsidRDefault="00750F80">
                    <w:pPr>
                      <w:pStyle w:val="Referentiegegevens"/>
                    </w:pPr>
                    <w:fldSimple w:instr=" DOCPROPERTY  &quot;Kenmerk&quot;  \* MERGEFORMAT ">
                      <w:r w:rsidR="00C61055">
                        <w:t>2021-0000134365</w:t>
                      </w:r>
                    </w:fldSimple>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00E1A81" wp14:editId="081B91A5">
              <wp:simplePos x="0" y="0"/>
              <wp:positionH relativeFrom="page">
                <wp:posOffset>1007744</wp:posOffset>
              </wp:positionH>
              <wp:positionV relativeFrom="page">
                <wp:posOffset>1925955</wp:posOffset>
              </wp:positionV>
              <wp:extent cx="3343275" cy="180975"/>
              <wp:effectExtent l="0" t="0" r="0" b="0"/>
              <wp:wrapNone/>
              <wp:docPr id="15"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0ECDE06D" w14:textId="77777777" w:rsidR="00C61055" w:rsidRDefault="00C61055"/>
                      </w:txbxContent>
                    </wps:txbx>
                    <wps:bodyPr vert="horz" wrap="square" lIns="0" tIns="0" rIns="0" bIns="0" anchor="t" anchorCtr="0"/>
                  </wps:wsp>
                </a:graphicData>
              </a:graphic>
            </wp:anchor>
          </w:drawing>
        </mc:Choice>
        <mc:Fallback>
          <w:pict>
            <v:shape w14:anchorId="100E1A81" id="Rubricering boven vervolgpagina" o:spid="_x0000_s1029" type="#_x0000_t202" style="position:absolute;margin-left:79.35pt;margin-top:151.65pt;width:263.25pt;height:14.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AbQZN2twEAAE8DAAAOAAAAAAAAAAAAAAAAAC4CAABkcnMv&#10;ZTJvRG9jLnhtbFBLAQItABQABgAIAAAAIQAGuHj44AAAAAsBAAAPAAAAAAAAAAAAAAAAABEEAABk&#10;cnMvZG93bnJldi54bWxQSwUGAAAAAAQABADzAAAAHgUAAAAA&#10;" filled="f" stroked="f">
              <v:textbox inset="0,0,0,0">
                <w:txbxContent>
                  <w:p w14:paraId="0ECDE06D" w14:textId="77777777" w:rsidR="00C61055" w:rsidRDefault="00C61055"/>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D0B20" w14:textId="77777777" w:rsidR="00C61055" w:rsidRDefault="00C61055">
    <w:pPr>
      <w:pStyle w:val="MarginlessContainer"/>
      <w:spacing w:after="6518" w:line="14" w:lineRule="exact"/>
    </w:pPr>
    <w:r>
      <w:rPr>
        <w:noProof/>
      </w:rPr>
      <mc:AlternateContent>
        <mc:Choice Requires="wps">
          <w:drawing>
            <wp:anchor distT="0" distB="0" distL="0" distR="0" simplePos="0" relativeHeight="251656192" behindDoc="0" locked="1" layoutInCell="1" allowOverlap="1" wp14:anchorId="24AF250F" wp14:editId="6E2D7A2D">
              <wp:simplePos x="0" y="0"/>
              <wp:positionH relativeFrom="page">
                <wp:posOffset>3545840</wp:posOffset>
              </wp:positionH>
              <wp:positionV relativeFrom="page">
                <wp:posOffset>0</wp:posOffset>
              </wp:positionV>
              <wp:extent cx="467995" cy="133604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336040"/>
                      </a:xfrm>
                      <a:prstGeom prst="rect">
                        <a:avLst/>
                      </a:prstGeom>
                      <a:noFill/>
                    </wps:spPr>
                    <wps:txbx>
                      <w:txbxContent>
                        <w:p w14:paraId="046C5341" w14:textId="77777777" w:rsidR="00C61055" w:rsidRDefault="00C61055">
                          <w:pPr>
                            <w:pStyle w:val="MarginlessContainer"/>
                          </w:pPr>
                          <w:r>
                            <w:rPr>
                              <w:noProof/>
                            </w:rPr>
                            <w:drawing>
                              <wp:inline distT="0" distB="0" distL="0" distR="0" wp14:anchorId="367AF5EE" wp14:editId="26397D5C">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4AF250F" id="_x0000_t202" coordsize="21600,21600" o:spt="202" path="m,l,21600r21600,l21600,xe">
              <v:stroke joinstyle="miter"/>
              <v:path gradientshapeok="t" o:connecttype="rect"/>
            </v:shapetype>
            <v:shape id="Logo" o:spid="_x0000_s1030" type="#_x0000_t202" style="position:absolute;margin-left:279.2pt;margin-top:0;width:36.85pt;height:105.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" filled="f" stroked="f">
              <v:textbox inset="0,0,0,0">
                <w:txbxContent>
                  <w:p w14:paraId="046C5341" w14:textId="77777777" w:rsidR="00C61055" w:rsidRDefault="00C61055">
                    <w:pPr>
                      <w:pStyle w:val="MarginlessContainer"/>
                    </w:pPr>
                    <w:r>
                      <w:rPr>
                        <w:noProof/>
                      </w:rPr>
                      <w:drawing>
                        <wp:inline distT="0" distB="0" distL="0" distR="0" wp14:anchorId="367AF5EE" wp14:editId="26397D5C">
                          <wp:extent cx="467995" cy="1583865"/>
                          <wp:effectExtent l="0" t="0" r="0" b="0"/>
                          <wp:docPr id="2" name="Rijkslint"/>
                          <wp:cNvGraphicFramePr/>
                          <a:graphic xmlns:a="http://schemas.openxmlformats.org/drawingml/2006/main">
                            <a:graphicData uri="http://schemas.openxmlformats.org/drawingml/2006/picture">
                              <pic:pic xmlns:pic="http://schemas.openxmlformats.org/drawingml/2006/picture">
                                <pic:nvPicPr>
                                  <pic:cNvPr id="2"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1B5065C" wp14:editId="78C1D48E">
              <wp:simplePos x="0" y="0"/>
              <wp:positionH relativeFrom="page">
                <wp:posOffset>4013835</wp:posOffset>
              </wp:positionH>
              <wp:positionV relativeFrom="page">
                <wp:posOffset>0</wp:posOffset>
              </wp:positionV>
              <wp:extent cx="2339975" cy="1583690"/>
              <wp:effectExtent l="0" t="0" r="0" b="0"/>
              <wp:wrapNone/>
              <wp:docPr id="3"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FABD61" w14:textId="77777777" w:rsidR="00C61055" w:rsidRDefault="00C61055">
                          <w:pPr>
                            <w:pStyle w:val="MarginlessContainer"/>
                          </w:pPr>
                          <w:r>
                            <w:rPr>
                              <w:noProof/>
                            </w:rPr>
                            <w:drawing>
                              <wp:inline distT="0" distB="0" distL="0" distR="0" wp14:anchorId="068AFA5B" wp14:editId="1CB336EC">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1B5065C" id="Woordmerk" o:spid="_x0000_s1031" type="#_x0000_t202" style="position:absolute;margin-left:316.05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CUV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l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45QlFasBAAA5AwAADgAAAAAAAAAAAAAAAAAuAgAAZHJzL2Uyb0RvYy54bWxQSwEC&#10;LQAUAAYACAAAACEAzkuwit4AAAAJAQAADwAAAAAAAAAAAAAAAAAFBAAAZHJzL2Rvd25yZXYueG1s&#10;UEsFBgAAAAAEAAQA8wAAABAFAAAAAA==&#10;" filled="f" stroked="f">
              <v:textbox inset="0,0,0,0">
                <w:txbxContent>
                  <w:p w14:paraId="28FABD61" w14:textId="77777777" w:rsidR="00C61055" w:rsidRDefault="00C61055">
                    <w:pPr>
                      <w:pStyle w:val="MarginlessContainer"/>
                    </w:pPr>
                    <w:r>
                      <w:rPr>
                        <w:noProof/>
                      </w:rPr>
                      <w:drawing>
                        <wp:inline distT="0" distB="0" distL="0" distR="0" wp14:anchorId="068AFA5B" wp14:editId="1CB336EC">
                          <wp:extent cx="2339975" cy="1582834"/>
                          <wp:effectExtent l="0" t="0" r="0" b="0"/>
                          <wp:docPr id="4" name="BZK_standaard"/>
                          <wp:cNvGraphicFramePr/>
                          <a:graphic xmlns:a="http://schemas.openxmlformats.org/drawingml/2006/main">
                            <a:graphicData uri="http://schemas.openxmlformats.org/drawingml/2006/picture">
                              <pic:pic xmlns:pic="http://schemas.openxmlformats.org/drawingml/2006/picture">
                                <pic:nvPicPr>
                                  <pic:cNvPr id="4"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F044352" wp14:editId="219784D2">
              <wp:simplePos x="0" y="0"/>
              <wp:positionH relativeFrom="page">
                <wp:posOffset>1007744</wp:posOffset>
              </wp:positionH>
              <wp:positionV relativeFrom="page">
                <wp:posOffset>1939925</wp:posOffset>
              </wp:positionV>
              <wp:extent cx="3347720" cy="1115695"/>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47720" cy="1115695"/>
                      </a:xfrm>
                      <a:prstGeom prst="rect">
                        <a:avLst/>
                      </a:prstGeom>
                      <a:noFill/>
                    </wps:spPr>
                    <wps:txbx>
                      <w:txbxContent>
                        <w:p w14:paraId="4F676C1B" w14:textId="77777777" w:rsidR="00C61055" w:rsidRDefault="00C61055">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3F044352" id="Toezendgegevens" o:spid="_x0000_s1032" type="#_x0000_t202" style="position:absolute;margin-left:79.35pt;margin-top:152.75pt;width:263.6pt;height:87.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" filled="f" stroked="f">
              <v:textbox inset="0,0,0,0">
                <w:txbxContent>
                  <w:p w14:paraId="4F676C1B" w14:textId="77777777" w:rsidR="00C61055" w:rsidRDefault="00C61055">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CF3292" wp14:editId="43D3F36A">
              <wp:simplePos x="0" y="0"/>
              <wp:positionH relativeFrom="page">
                <wp:posOffset>5932170</wp:posOffset>
              </wp:positionH>
              <wp:positionV relativeFrom="page">
                <wp:posOffset>1967864</wp:posOffset>
              </wp:positionV>
              <wp:extent cx="1247140" cy="8058150"/>
              <wp:effectExtent l="0" t="0" r="0" b="0"/>
              <wp:wrapNone/>
              <wp:docPr id="6" name="Colofon"/>
              <wp:cNvGraphicFramePr/>
              <a:graphic xmlns:a="http://schemas.openxmlformats.org/drawingml/2006/main">
                <a:graphicData uri="http://schemas.microsoft.com/office/word/2010/wordprocessingShape">
                  <wps:wsp>
                    <wps:cNvSpPr txBox="1"/>
                    <wps:spPr>
                      <a:xfrm>
                        <a:off x="0" y="0"/>
                        <a:ext cx="1247140" cy="8058150"/>
                      </a:xfrm>
                      <a:prstGeom prst="rect">
                        <a:avLst/>
                      </a:prstGeom>
                      <a:noFill/>
                    </wps:spPr>
                    <wps:txbx>
                      <w:txbxContent>
                        <w:p w14:paraId="38819720" w14:textId="77777777" w:rsidR="00C61055" w:rsidRDefault="00C61055">
                          <w:pPr>
                            <w:pStyle w:val="Kopjeafzendgegevens"/>
                          </w:pPr>
                          <w:r>
                            <w:t>DGOO</w:t>
                          </w:r>
                        </w:p>
                        <w:p w14:paraId="5E8F7719" w14:textId="77777777" w:rsidR="00C61055" w:rsidRDefault="00C61055">
                          <w:pPr>
                            <w:pStyle w:val="Afzendgegevens"/>
                          </w:pPr>
                          <w:r>
                            <w:t>Directie CIO Rijk</w:t>
                          </w:r>
                        </w:p>
                        <w:p w14:paraId="40D8D711" w14:textId="77777777" w:rsidR="00C61055" w:rsidRDefault="00C61055">
                          <w:pPr>
                            <w:pStyle w:val="WitregelW1"/>
                          </w:pPr>
                        </w:p>
                        <w:p w14:paraId="59BF90F9" w14:textId="77777777" w:rsidR="00C61055" w:rsidRDefault="00C61055">
                          <w:pPr>
                            <w:pStyle w:val="Kopjeafzendgegevens"/>
                          </w:pPr>
                          <w:r>
                            <w:t>Contactpersoon</w:t>
                          </w:r>
                        </w:p>
                        <w:p w14:paraId="25298C95" w14:textId="77777777" w:rsidR="00C61055" w:rsidRDefault="00C61055">
                          <w:pPr>
                            <w:pStyle w:val="Referentiegegevens"/>
                          </w:pPr>
                          <w:r>
                            <w:t xml:space="preserve">Jos </w:t>
                          </w:r>
                          <w:proofErr w:type="spellStart"/>
                          <w:r>
                            <w:t>Boerties</w:t>
                          </w:r>
                          <w:proofErr w:type="spellEnd"/>
                        </w:p>
                        <w:p w14:paraId="4602E7BA" w14:textId="77777777" w:rsidR="00C61055" w:rsidRDefault="00C61055">
                          <w:pPr>
                            <w:pStyle w:val="WitregelW1"/>
                          </w:pPr>
                        </w:p>
                        <w:p w14:paraId="78809BDD" w14:textId="77777777" w:rsidR="00C61055" w:rsidRDefault="00C61055">
                          <w:pPr>
                            <w:pStyle w:val="Referentiegegevens"/>
                          </w:pPr>
                          <w:r>
                            <w:t>T</w:t>
                          </w:r>
                          <w:r>
                            <w:tab/>
                            <w:t>06 50035826</w:t>
                          </w:r>
                        </w:p>
                        <w:p w14:paraId="78E8708E" w14:textId="77777777" w:rsidR="00C61055" w:rsidRDefault="00C61055">
                          <w:pPr>
                            <w:pStyle w:val="WitregelW2"/>
                          </w:pPr>
                        </w:p>
                        <w:p w14:paraId="083300C9" w14:textId="77777777" w:rsidR="00C61055" w:rsidRDefault="00C61055">
                          <w:pPr>
                            <w:pStyle w:val="Kopjereferentiegegevens"/>
                          </w:pPr>
                          <w:r>
                            <w:t>Datum</w:t>
                          </w:r>
                        </w:p>
                        <w:p w14:paraId="27B1C29D" w14:textId="77777777" w:rsidR="00C61055" w:rsidRDefault="00750F80">
                          <w:pPr>
                            <w:pStyle w:val="Referentiegegevens"/>
                          </w:pPr>
                          <w:fldSimple w:instr=" DOCPROPERTY  &quot;Datum&quot;  \* MERGEFORMAT ">
                            <w:r w:rsidR="00C61055">
                              <w:t>31 maart 2021</w:t>
                            </w:r>
                          </w:fldSimple>
                        </w:p>
                        <w:p w14:paraId="6983BF39" w14:textId="77777777" w:rsidR="00C61055" w:rsidRDefault="00C61055">
                          <w:pPr>
                            <w:pStyle w:val="WitregelW1"/>
                          </w:pPr>
                        </w:p>
                        <w:p w14:paraId="7E4BE4C4" w14:textId="77777777" w:rsidR="00C61055" w:rsidRDefault="00C61055">
                          <w:pPr>
                            <w:pStyle w:val="Kopjereferentiegegevens"/>
                          </w:pPr>
                          <w:r>
                            <w:t>Kenmerk</w:t>
                          </w:r>
                        </w:p>
                        <w:p w14:paraId="40942518" w14:textId="77777777" w:rsidR="00C61055" w:rsidRDefault="00750F80">
                          <w:pPr>
                            <w:pStyle w:val="Referentiegegevens"/>
                          </w:pPr>
                          <w:fldSimple w:instr=" DOCPROPERTY  &quot;Kenmerk&quot;  \* MERGEFORMAT ">
                            <w:r w:rsidR="00C61055">
                              <w:t>2021-0000134365</w:t>
                            </w:r>
                          </w:fldSimple>
                        </w:p>
                        <w:p w14:paraId="0E5FE728" w14:textId="77777777" w:rsidR="00C61055" w:rsidRDefault="00C61055">
                          <w:pPr>
                            <w:pStyle w:val="WitregelW1"/>
                          </w:pPr>
                        </w:p>
                        <w:p w14:paraId="1033B06B" w14:textId="77777777" w:rsidR="00C61055" w:rsidRDefault="00C61055">
                          <w:pPr>
                            <w:pStyle w:val="Kopjereferentiegegevens"/>
                          </w:pPr>
                          <w:r>
                            <w:t>Bijlage(n)</w:t>
                          </w:r>
                        </w:p>
                        <w:p w14:paraId="2A03A5E8" w14:textId="77777777" w:rsidR="00C61055" w:rsidRDefault="00C61055">
                          <w:pPr>
                            <w:pStyle w:val="Referentiegegevens"/>
                          </w:pPr>
                          <w:r>
                            <w:t>1</w:t>
                          </w:r>
                        </w:p>
                      </w:txbxContent>
                    </wps:txbx>
                    <wps:bodyPr vert="horz" wrap="square" lIns="0" tIns="0" rIns="0" bIns="0" anchor="t" anchorCtr="0"/>
                  </wps:wsp>
                </a:graphicData>
              </a:graphic>
            </wp:anchor>
          </w:drawing>
        </mc:Choice>
        <mc:Fallback>
          <w:pict>
            <v:shape w14:anchorId="4CCF3292" id="Colofon" o:spid="_x0000_s1033" type="#_x0000_t202" style="position:absolute;margin-left:467.1pt;margin-top:154.95pt;width:98.2pt;height:63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" filled="f" stroked="f">
              <v:textbox inset="0,0,0,0">
                <w:txbxContent>
                  <w:p w14:paraId="38819720" w14:textId="77777777" w:rsidR="00C61055" w:rsidRDefault="00C61055">
                    <w:pPr>
                      <w:pStyle w:val="Kopjeafzendgegevens"/>
                    </w:pPr>
                    <w:r>
                      <w:t>DGOO</w:t>
                    </w:r>
                  </w:p>
                  <w:p w14:paraId="5E8F7719" w14:textId="77777777" w:rsidR="00C61055" w:rsidRDefault="00C61055">
                    <w:pPr>
                      <w:pStyle w:val="Afzendgegevens"/>
                    </w:pPr>
                    <w:r>
                      <w:t>Directie CIO Rijk</w:t>
                    </w:r>
                  </w:p>
                  <w:p w14:paraId="40D8D711" w14:textId="77777777" w:rsidR="00C61055" w:rsidRDefault="00C61055">
                    <w:pPr>
                      <w:pStyle w:val="WitregelW1"/>
                    </w:pPr>
                  </w:p>
                  <w:p w14:paraId="59BF90F9" w14:textId="77777777" w:rsidR="00C61055" w:rsidRDefault="00C61055">
                    <w:pPr>
                      <w:pStyle w:val="Kopjeafzendgegevens"/>
                    </w:pPr>
                    <w:r>
                      <w:t>Contactpersoon</w:t>
                    </w:r>
                  </w:p>
                  <w:p w14:paraId="25298C95" w14:textId="77777777" w:rsidR="00C61055" w:rsidRDefault="00C61055">
                    <w:pPr>
                      <w:pStyle w:val="Referentiegegevens"/>
                    </w:pPr>
                    <w:r>
                      <w:t xml:space="preserve">Jos </w:t>
                    </w:r>
                    <w:proofErr w:type="spellStart"/>
                    <w:r>
                      <w:t>Boerties</w:t>
                    </w:r>
                    <w:proofErr w:type="spellEnd"/>
                  </w:p>
                  <w:p w14:paraId="4602E7BA" w14:textId="77777777" w:rsidR="00C61055" w:rsidRDefault="00C61055">
                    <w:pPr>
                      <w:pStyle w:val="WitregelW1"/>
                    </w:pPr>
                  </w:p>
                  <w:p w14:paraId="78809BDD" w14:textId="77777777" w:rsidR="00C61055" w:rsidRDefault="00C61055">
                    <w:pPr>
                      <w:pStyle w:val="Referentiegegevens"/>
                    </w:pPr>
                    <w:r>
                      <w:t>T</w:t>
                    </w:r>
                    <w:r>
                      <w:tab/>
                      <w:t>06 50035826</w:t>
                    </w:r>
                  </w:p>
                  <w:p w14:paraId="78E8708E" w14:textId="77777777" w:rsidR="00C61055" w:rsidRDefault="00C61055">
                    <w:pPr>
                      <w:pStyle w:val="WitregelW2"/>
                    </w:pPr>
                  </w:p>
                  <w:p w14:paraId="083300C9" w14:textId="77777777" w:rsidR="00C61055" w:rsidRDefault="00C61055">
                    <w:pPr>
                      <w:pStyle w:val="Kopjereferentiegegevens"/>
                    </w:pPr>
                    <w:r>
                      <w:t>Datum</w:t>
                    </w:r>
                  </w:p>
                  <w:p w14:paraId="27B1C29D" w14:textId="77777777" w:rsidR="00C61055" w:rsidRDefault="00750F80">
                    <w:pPr>
                      <w:pStyle w:val="Referentiegegevens"/>
                    </w:pPr>
                    <w:fldSimple w:instr=" DOCPROPERTY  &quot;Datum&quot;  \* MERGEFORMAT ">
                      <w:r w:rsidR="00C61055">
                        <w:t>31 maart 2021</w:t>
                      </w:r>
                    </w:fldSimple>
                  </w:p>
                  <w:p w14:paraId="6983BF39" w14:textId="77777777" w:rsidR="00C61055" w:rsidRDefault="00C61055">
                    <w:pPr>
                      <w:pStyle w:val="WitregelW1"/>
                    </w:pPr>
                  </w:p>
                  <w:p w14:paraId="7E4BE4C4" w14:textId="77777777" w:rsidR="00C61055" w:rsidRDefault="00C61055">
                    <w:pPr>
                      <w:pStyle w:val="Kopjereferentiegegevens"/>
                    </w:pPr>
                    <w:r>
                      <w:t>Kenmerk</w:t>
                    </w:r>
                  </w:p>
                  <w:p w14:paraId="40942518" w14:textId="77777777" w:rsidR="00C61055" w:rsidRDefault="00750F80">
                    <w:pPr>
                      <w:pStyle w:val="Referentiegegevens"/>
                    </w:pPr>
                    <w:fldSimple w:instr=" DOCPROPERTY  &quot;Kenmerk&quot;  \* MERGEFORMAT ">
                      <w:r w:rsidR="00C61055">
                        <w:t>2021-0000134365</w:t>
                      </w:r>
                    </w:fldSimple>
                  </w:p>
                  <w:p w14:paraId="0E5FE728" w14:textId="77777777" w:rsidR="00C61055" w:rsidRDefault="00C61055">
                    <w:pPr>
                      <w:pStyle w:val="WitregelW1"/>
                    </w:pPr>
                  </w:p>
                  <w:p w14:paraId="1033B06B" w14:textId="77777777" w:rsidR="00C61055" w:rsidRDefault="00C61055">
                    <w:pPr>
                      <w:pStyle w:val="Kopjereferentiegegevens"/>
                    </w:pPr>
                    <w:r>
                      <w:t>Bijlage(n)</w:t>
                    </w:r>
                  </w:p>
                  <w:p w14:paraId="2A03A5E8" w14:textId="77777777" w:rsidR="00C61055" w:rsidRDefault="00C61055">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52E0452" wp14:editId="41689D53">
              <wp:simplePos x="0" y="0"/>
              <wp:positionH relativeFrom="page">
                <wp:posOffset>5932170</wp:posOffset>
              </wp:positionH>
              <wp:positionV relativeFrom="page">
                <wp:posOffset>10197465</wp:posOffset>
              </wp:positionV>
              <wp:extent cx="1247140" cy="143510"/>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47140" cy="143510"/>
                      </a:xfrm>
                      <a:prstGeom prst="rect">
                        <a:avLst/>
                      </a:prstGeom>
                      <a:noFill/>
                    </wps:spPr>
                    <wps:txbx>
                      <w:txbxContent>
                        <w:p w14:paraId="50B40128" w14:textId="77777777" w:rsidR="00C61055" w:rsidRDefault="00C61055">
                          <w:pPr>
                            <w:pStyle w:val="Referentiegegevens"/>
                          </w:pPr>
                          <w:r>
                            <w:t xml:space="preserve">Pagina </w:t>
                          </w:r>
                          <w:r>
                            <w:fldChar w:fldCharType="begin"/>
                          </w:r>
                          <w:r>
                            <w:instrText>PAGE</w:instrText>
                          </w:r>
                          <w:r>
                            <w:fldChar w:fldCharType="separate"/>
                          </w:r>
                          <w:r w:rsidR="00D6253F">
                            <w:rPr>
                              <w:noProof/>
                            </w:rPr>
                            <w:t>1</w:t>
                          </w:r>
                          <w:r>
                            <w:fldChar w:fldCharType="end"/>
                          </w:r>
                          <w:r>
                            <w:t xml:space="preserve"> van </w:t>
                          </w:r>
                          <w:r>
                            <w:fldChar w:fldCharType="begin"/>
                          </w:r>
                          <w:r>
                            <w:instrText>NUMPAGES</w:instrText>
                          </w:r>
                          <w:r>
                            <w:fldChar w:fldCharType="separate"/>
                          </w:r>
                          <w:r w:rsidR="00D6253F">
                            <w:rPr>
                              <w:noProof/>
                            </w:rPr>
                            <w:t>12</w:t>
                          </w:r>
                          <w:r>
                            <w:fldChar w:fldCharType="end"/>
                          </w:r>
                        </w:p>
                      </w:txbxContent>
                    </wps:txbx>
                    <wps:bodyPr vert="horz" wrap="square" lIns="0" tIns="0" rIns="0" bIns="0" anchor="t" anchorCtr="0"/>
                  </wps:wsp>
                </a:graphicData>
              </a:graphic>
            </wp:anchor>
          </w:drawing>
        </mc:Choice>
        <mc:Fallback>
          <w:pict>
            <v:shape w14:anchorId="352E0452" id="Paginanummer" o:spid="_x0000_s1034" type="#_x0000_t202" style="position:absolute;margin-left:467.1pt;margin-top:802.95pt;width:98.2pt;height:11.3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" filled="f" stroked="f">
              <v:textbox inset="0,0,0,0">
                <w:txbxContent>
                  <w:p w14:paraId="50B40128" w14:textId="77777777" w:rsidR="00C61055" w:rsidRDefault="00C61055">
                    <w:pPr>
                      <w:pStyle w:val="Referentiegegevens"/>
                    </w:pPr>
                    <w:r>
                      <w:t xml:space="preserve">Pagina </w:t>
                    </w:r>
                    <w:r>
                      <w:fldChar w:fldCharType="begin"/>
                    </w:r>
                    <w:r>
                      <w:instrText>PAGE</w:instrText>
                    </w:r>
                    <w:r>
                      <w:fldChar w:fldCharType="separate"/>
                    </w:r>
                    <w:r w:rsidR="00D6253F">
                      <w:rPr>
                        <w:noProof/>
                      </w:rPr>
                      <w:t>1</w:t>
                    </w:r>
                    <w:r>
                      <w:fldChar w:fldCharType="end"/>
                    </w:r>
                    <w:r>
                      <w:t xml:space="preserve"> van </w:t>
                    </w:r>
                    <w:r>
                      <w:fldChar w:fldCharType="begin"/>
                    </w:r>
                    <w:r>
                      <w:instrText>NUMPAGES</w:instrText>
                    </w:r>
                    <w:r>
                      <w:fldChar w:fldCharType="separate"/>
                    </w:r>
                    <w:r w:rsidR="00D6253F">
                      <w:rPr>
                        <w:noProof/>
                      </w:rPr>
                      <w:t>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5684354" wp14:editId="6BEBE6F9">
              <wp:simplePos x="0" y="0"/>
              <wp:positionH relativeFrom="page">
                <wp:posOffset>1007744</wp:posOffset>
              </wp:positionH>
              <wp:positionV relativeFrom="page">
                <wp:posOffset>10197465</wp:posOffset>
              </wp:positionV>
              <wp:extent cx="1800225" cy="161925"/>
              <wp:effectExtent l="0" t="0" r="0" b="0"/>
              <wp:wrapNone/>
              <wp:docPr id="8" name="Rubricering onder"/>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D4378A0" w14:textId="77777777" w:rsidR="00C61055" w:rsidRDefault="00C61055"/>
                      </w:txbxContent>
                    </wps:txbx>
                    <wps:bodyPr vert="horz" wrap="square" lIns="0" tIns="0" rIns="0" bIns="0" anchor="t" anchorCtr="0"/>
                  </wps:wsp>
                </a:graphicData>
              </a:graphic>
            </wp:anchor>
          </w:drawing>
        </mc:Choice>
        <mc:Fallback>
          <w:pict>
            <v:shape w14:anchorId="65684354" id="Rubricering onder" o:spid="_x0000_s1035" type="#_x0000_t202" style="position:absolute;margin-left:79.35pt;margin-top:802.95pt;width:141.7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" filled="f" stroked="f">
              <v:textbox inset="0,0,0,0">
                <w:txbxContent>
                  <w:p w14:paraId="3D4378A0" w14:textId="77777777" w:rsidR="00C61055" w:rsidRDefault="00C6105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408C927" wp14:editId="7019D02E">
              <wp:simplePos x="0" y="0"/>
              <wp:positionH relativeFrom="page">
                <wp:posOffset>1007744</wp:posOffset>
              </wp:positionH>
              <wp:positionV relativeFrom="page">
                <wp:posOffset>3223895</wp:posOffset>
              </wp:positionV>
              <wp:extent cx="1247140" cy="495300"/>
              <wp:effectExtent l="0" t="0" r="0" b="0"/>
              <wp:wrapNone/>
              <wp:docPr id="9" name="Documenttype"/>
              <wp:cNvGraphicFramePr/>
              <a:graphic xmlns:a="http://schemas.openxmlformats.org/drawingml/2006/main">
                <a:graphicData uri="http://schemas.microsoft.com/office/word/2010/wordprocessingShape">
                  <wps:wsp>
                    <wps:cNvSpPr txBox="1"/>
                    <wps:spPr>
                      <a:xfrm>
                        <a:off x="0" y="0"/>
                        <a:ext cx="1247140" cy="495300"/>
                      </a:xfrm>
                      <a:prstGeom prst="rect">
                        <a:avLst/>
                      </a:prstGeom>
                      <a:noFill/>
                    </wps:spPr>
                    <wps:txbx>
                      <w:txbxContent>
                        <w:p w14:paraId="5F7B9FA7" w14:textId="77777777" w:rsidR="00C61055" w:rsidRDefault="00C61055">
                          <w:pPr>
                            <w:pStyle w:val="MarginlessContainer"/>
                          </w:pPr>
                          <w:r>
                            <w:rPr>
                              <w:noProof/>
                            </w:rPr>
                            <w:drawing>
                              <wp:inline distT="0" distB="0" distL="0" distR="0" wp14:anchorId="224EC89D" wp14:editId="4372F073">
                                <wp:extent cx="1247140" cy="623570"/>
                                <wp:effectExtent l="0" t="0" r="0" b="0"/>
                                <wp:docPr id="10" name="Notitie"/>
                                <wp:cNvGraphicFramePr/>
                                <a:graphic xmlns:a="http://schemas.openxmlformats.org/drawingml/2006/main">
                                  <a:graphicData uri="http://schemas.openxmlformats.org/drawingml/2006/picture">
                                    <pic:pic xmlns:pic="http://schemas.openxmlformats.org/drawingml/2006/picture">
                                      <pic:nvPicPr>
                                        <pic:cNvPr id="10" name="Notitie"/>
                                        <pic:cNvPicPr/>
                                      </pic:nvPicPr>
                                      <pic:blipFill>
                                        <a:blip r:embed="rId3"/>
                                        <a:stretch>
                                          <a:fillRect/>
                                        </a:stretch>
                                      </pic:blipFill>
                                      <pic:spPr bwMode="auto">
                                        <a:xfrm>
                                          <a:off x="0" y="0"/>
                                          <a:ext cx="1247140" cy="62357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408C927" id="Documenttype" o:spid="_x0000_s1036" type="#_x0000_t202" style="position:absolute;margin-left:79.35pt;margin-top:253.85pt;width:98.2pt;height:39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" filled="f" stroked="f">
              <v:textbox inset="0,0,0,0">
                <w:txbxContent>
                  <w:p w14:paraId="5F7B9FA7" w14:textId="77777777" w:rsidR="00C61055" w:rsidRDefault="00C61055">
                    <w:pPr>
                      <w:pStyle w:val="MarginlessContainer"/>
                    </w:pPr>
                    <w:r>
                      <w:rPr>
                        <w:noProof/>
                      </w:rPr>
                      <w:drawing>
                        <wp:inline distT="0" distB="0" distL="0" distR="0" wp14:anchorId="224EC89D" wp14:editId="4372F073">
                          <wp:extent cx="1247140" cy="623570"/>
                          <wp:effectExtent l="0" t="0" r="0" b="0"/>
                          <wp:docPr id="10" name="Notitie"/>
                          <wp:cNvGraphicFramePr/>
                          <a:graphic xmlns:a="http://schemas.openxmlformats.org/drawingml/2006/main">
                            <a:graphicData uri="http://schemas.openxmlformats.org/drawingml/2006/picture">
                              <pic:pic xmlns:pic="http://schemas.openxmlformats.org/drawingml/2006/picture">
                                <pic:nvPicPr>
                                  <pic:cNvPr id="10" name="Notitie"/>
                                  <pic:cNvPicPr/>
                                </pic:nvPicPr>
                                <pic:blipFill>
                                  <a:blip r:embed="rId3"/>
                                  <a:stretch>
                                    <a:fillRect/>
                                  </a:stretch>
                                </pic:blipFill>
                                <pic:spPr bwMode="auto">
                                  <a:xfrm>
                                    <a:off x="0" y="0"/>
                                    <a:ext cx="1247140" cy="62357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9546DF2" wp14:editId="270AB2DC">
              <wp:simplePos x="0" y="0"/>
              <wp:positionH relativeFrom="page">
                <wp:posOffset>2417445</wp:posOffset>
              </wp:positionH>
              <wp:positionV relativeFrom="page">
                <wp:posOffset>3463925</wp:posOffset>
              </wp:positionV>
              <wp:extent cx="3333115" cy="359410"/>
              <wp:effectExtent l="0" t="0" r="0" b="0"/>
              <wp:wrapNone/>
              <wp:docPr id="11" name="Onderwerp"/>
              <wp:cNvGraphicFramePr/>
              <a:graphic xmlns:a="http://schemas.openxmlformats.org/drawingml/2006/main">
                <a:graphicData uri="http://schemas.microsoft.com/office/word/2010/wordprocessingShape">
                  <wps:wsp>
                    <wps:cNvSpPr txBox="1"/>
                    <wps:spPr>
                      <a:xfrm>
                        <a:off x="0" y="0"/>
                        <a:ext cx="3333115" cy="359410"/>
                      </a:xfrm>
                      <a:prstGeom prst="rect">
                        <a:avLst/>
                      </a:prstGeom>
                      <a:noFill/>
                    </wps:spPr>
                    <wps:txbx>
                      <w:txbxContent>
                        <w:p w14:paraId="76810DC8" w14:textId="77777777" w:rsidR="00C61055" w:rsidRDefault="00750F80">
                          <w:fldSimple w:instr=" DOCPROPERTY  &quot;Onderwerp&quot;  \* MERGEFORMAT ">
                            <w:r w:rsidR="00C61055">
                              <w:t>Financiële paragraaf POK-Informatiehuishouding</w:t>
                            </w:r>
                          </w:fldSimple>
                        </w:p>
                      </w:txbxContent>
                    </wps:txbx>
                    <wps:bodyPr vert="horz" wrap="square" lIns="0" tIns="0" rIns="0" bIns="0" anchor="t" anchorCtr="0"/>
                  </wps:wsp>
                </a:graphicData>
              </a:graphic>
            </wp:anchor>
          </w:drawing>
        </mc:Choice>
        <mc:Fallback>
          <w:pict>
            <v:shape w14:anchorId="29546DF2" id="Onderwerp" o:spid="_x0000_s1037" type="#_x0000_t202" style="position:absolute;margin-left:190.35pt;margin-top:272.75pt;width:262.45pt;height:28.3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" filled="f" stroked="f">
              <v:textbox inset="0,0,0,0">
                <w:txbxContent>
                  <w:p w14:paraId="76810DC8" w14:textId="77777777" w:rsidR="00C61055" w:rsidRDefault="00750F80">
                    <w:fldSimple w:instr=" DOCPROPERTY  &quot;Onderwerp&quot;  \* MERGEFORMAT ">
                      <w:r w:rsidR="00C61055">
                        <w:t>Financiële paragraaf POK-Informatiehuishouding</w:t>
                      </w:r>
                    </w:fldSimple>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B57D79"/>
    <w:multiLevelType w:val="multilevel"/>
    <w:tmpl w:val="5E88CD27"/>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954FACF"/>
    <w:multiLevelType w:val="multilevel"/>
    <w:tmpl w:val="EB9705AC"/>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3864063"/>
    <w:multiLevelType w:val="multilevel"/>
    <w:tmpl w:val="D5B0D8A9"/>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4F67303"/>
    <w:multiLevelType w:val="multilevel"/>
    <w:tmpl w:val="D474F3B5"/>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34F228"/>
    <w:multiLevelType w:val="multilevel"/>
    <w:tmpl w:val="86BF921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5541552"/>
    <w:multiLevelType w:val="multilevel"/>
    <w:tmpl w:val="12B68C2C"/>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A030079"/>
    <w:multiLevelType w:val="multilevel"/>
    <w:tmpl w:val="33DD4405"/>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DD34828"/>
    <w:multiLevelType w:val="multilevel"/>
    <w:tmpl w:val="8AD8E97A"/>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2C9F9D8"/>
    <w:multiLevelType w:val="multilevel"/>
    <w:tmpl w:val="E0B38A74"/>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71D0DFE"/>
    <w:multiLevelType w:val="multilevel"/>
    <w:tmpl w:val="98DDA649"/>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8B7EEC"/>
    <w:multiLevelType w:val="multilevel"/>
    <w:tmpl w:val="037F96B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EF93D225"/>
    <w:multiLevelType w:val="multilevel"/>
    <w:tmpl w:val="81799A4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31905A7"/>
    <w:multiLevelType w:val="multilevel"/>
    <w:tmpl w:val="74AF2F56"/>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F968566C"/>
    <w:multiLevelType w:val="multilevel"/>
    <w:tmpl w:val="EAF5FD4B"/>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9D667A7"/>
    <w:multiLevelType w:val="multilevel"/>
    <w:tmpl w:val="D1D131A2"/>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4121C07"/>
    <w:multiLevelType w:val="multilevel"/>
    <w:tmpl w:val="C1C6814C"/>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7032FE7"/>
    <w:multiLevelType w:val="hybridMultilevel"/>
    <w:tmpl w:val="C2B2BEAA"/>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7" w15:restartNumberingAfterBreak="0">
    <w:nsid w:val="0A817D12"/>
    <w:multiLevelType w:val="multilevel"/>
    <w:tmpl w:val="77F8A06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F421792"/>
    <w:multiLevelType w:val="hybridMultilevel"/>
    <w:tmpl w:val="B9B87B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284E86B"/>
    <w:multiLevelType w:val="multilevel"/>
    <w:tmpl w:val="3E71D4F1"/>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16550F"/>
    <w:multiLevelType w:val="multilevel"/>
    <w:tmpl w:val="B72C27D4"/>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F344FF9"/>
    <w:multiLevelType w:val="hybridMultilevel"/>
    <w:tmpl w:val="B8B23C0E"/>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22" w15:restartNumberingAfterBreak="0">
    <w:nsid w:val="23B59C60"/>
    <w:multiLevelType w:val="multilevel"/>
    <w:tmpl w:val="4DD59CC4"/>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21251D"/>
    <w:multiLevelType w:val="multilevel"/>
    <w:tmpl w:val="E4B71DD3"/>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78065C0"/>
    <w:multiLevelType w:val="multilevel"/>
    <w:tmpl w:val="C977925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D095AB"/>
    <w:multiLevelType w:val="multilevel"/>
    <w:tmpl w:val="B2DB235B"/>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0EA2150"/>
    <w:multiLevelType w:val="hybridMultilevel"/>
    <w:tmpl w:val="7346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48A80EB4"/>
    <w:multiLevelType w:val="hybridMultilevel"/>
    <w:tmpl w:val="68D416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98393F4"/>
    <w:multiLevelType w:val="multilevel"/>
    <w:tmpl w:val="1CCD83DA"/>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4C0CB8"/>
    <w:multiLevelType w:val="hybridMultilevel"/>
    <w:tmpl w:val="0B806B22"/>
    <w:lvl w:ilvl="0" w:tplc="1BEC6D82">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4EDA382C"/>
    <w:multiLevelType w:val="hybridMultilevel"/>
    <w:tmpl w:val="64D0E5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06CCA58"/>
    <w:multiLevelType w:val="multilevel"/>
    <w:tmpl w:val="A0A73781"/>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17249EE"/>
    <w:multiLevelType w:val="hybridMultilevel"/>
    <w:tmpl w:val="DE46DCB0"/>
    <w:lvl w:ilvl="0" w:tplc="0413000F">
      <w:start w:val="1"/>
      <w:numFmt w:val="decimal"/>
      <w:lvlText w:val="%1."/>
      <w:lvlJc w:val="left"/>
      <w:pPr>
        <w:ind w:left="720" w:hanging="360"/>
      </w:pPr>
    </w:lvl>
    <w:lvl w:ilvl="1" w:tplc="0CC099A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3502AA9"/>
    <w:multiLevelType w:val="multilevel"/>
    <w:tmpl w:val="80C1902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C03E2"/>
    <w:multiLevelType w:val="hybridMultilevel"/>
    <w:tmpl w:val="6F1E3278"/>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5" w15:restartNumberingAfterBreak="0">
    <w:nsid w:val="5704328F"/>
    <w:multiLevelType w:val="multilevel"/>
    <w:tmpl w:val="B8BC4734"/>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0E90D"/>
    <w:multiLevelType w:val="multilevel"/>
    <w:tmpl w:val="76EA87A6"/>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AB81CC2"/>
    <w:multiLevelType w:val="hybridMultilevel"/>
    <w:tmpl w:val="93F45F3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F25A7D7"/>
    <w:multiLevelType w:val="multilevel"/>
    <w:tmpl w:val="D123B810"/>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F59E866"/>
    <w:multiLevelType w:val="multilevel"/>
    <w:tmpl w:val="0B8544CF"/>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5E30C2"/>
    <w:multiLevelType w:val="hybridMultilevel"/>
    <w:tmpl w:val="6F8A834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668BE4BD"/>
    <w:multiLevelType w:val="multilevel"/>
    <w:tmpl w:val="18EC7913"/>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A64FF0"/>
    <w:multiLevelType w:val="hybridMultilevel"/>
    <w:tmpl w:val="C380C0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D716A33"/>
    <w:multiLevelType w:val="hybridMultilevel"/>
    <w:tmpl w:val="B9B87B2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AA7A358"/>
    <w:multiLevelType w:val="multilevel"/>
    <w:tmpl w:val="BAACDC56"/>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33"/>
  </w:num>
  <w:num w:numId="3">
    <w:abstractNumId w:val="38"/>
  </w:num>
  <w:num w:numId="4">
    <w:abstractNumId w:val="31"/>
  </w:num>
  <w:num w:numId="5">
    <w:abstractNumId w:val="11"/>
  </w:num>
  <w:num w:numId="6">
    <w:abstractNumId w:val="41"/>
  </w:num>
  <w:num w:numId="7">
    <w:abstractNumId w:val="44"/>
  </w:num>
  <w:num w:numId="8">
    <w:abstractNumId w:val="3"/>
  </w:num>
  <w:num w:numId="9">
    <w:abstractNumId w:val="28"/>
  </w:num>
  <w:num w:numId="10">
    <w:abstractNumId w:val="10"/>
  </w:num>
  <w:num w:numId="11">
    <w:abstractNumId w:val="22"/>
  </w:num>
  <w:num w:numId="12">
    <w:abstractNumId w:val="8"/>
  </w:num>
  <w:num w:numId="13">
    <w:abstractNumId w:val="12"/>
  </w:num>
  <w:num w:numId="14">
    <w:abstractNumId w:val="14"/>
  </w:num>
  <w:num w:numId="15">
    <w:abstractNumId w:val="4"/>
  </w:num>
  <w:num w:numId="16">
    <w:abstractNumId w:val="15"/>
  </w:num>
  <w:num w:numId="17">
    <w:abstractNumId w:val="0"/>
  </w:num>
  <w:num w:numId="18">
    <w:abstractNumId w:val="1"/>
  </w:num>
  <w:num w:numId="19">
    <w:abstractNumId w:val="19"/>
  </w:num>
  <w:num w:numId="20">
    <w:abstractNumId w:val="23"/>
  </w:num>
  <w:num w:numId="21">
    <w:abstractNumId w:val="35"/>
  </w:num>
  <w:num w:numId="22">
    <w:abstractNumId w:val="24"/>
  </w:num>
  <w:num w:numId="23">
    <w:abstractNumId w:val="17"/>
  </w:num>
  <w:num w:numId="24">
    <w:abstractNumId w:val="5"/>
  </w:num>
  <w:num w:numId="25">
    <w:abstractNumId w:val="25"/>
  </w:num>
  <w:num w:numId="26">
    <w:abstractNumId w:val="2"/>
  </w:num>
  <w:num w:numId="27">
    <w:abstractNumId w:val="6"/>
  </w:num>
  <w:num w:numId="28">
    <w:abstractNumId w:val="7"/>
  </w:num>
  <w:num w:numId="29">
    <w:abstractNumId w:val="39"/>
  </w:num>
  <w:num w:numId="30">
    <w:abstractNumId w:val="20"/>
  </w:num>
  <w:num w:numId="31">
    <w:abstractNumId w:val="9"/>
  </w:num>
  <w:num w:numId="32">
    <w:abstractNumId w:val="13"/>
  </w:num>
  <w:num w:numId="33">
    <w:abstractNumId w:val="18"/>
  </w:num>
  <w:num w:numId="34">
    <w:abstractNumId w:val="37"/>
  </w:num>
  <w:num w:numId="35">
    <w:abstractNumId w:val="30"/>
  </w:num>
  <w:num w:numId="36">
    <w:abstractNumId w:val="16"/>
  </w:num>
  <w:num w:numId="37">
    <w:abstractNumId w:val="40"/>
  </w:num>
  <w:num w:numId="38">
    <w:abstractNumId w:val="43"/>
  </w:num>
  <w:num w:numId="39">
    <w:abstractNumId w:val="27"/>
  </w:num>
  <w:num w:numId="40">
    <w:abstractNumId w:val="21"/>
  </w:num>
  <w:num w:numId="41">
    <w:abstractNumId w:val="32"/>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42"/>
  </w:num>
  <w:num w:numId="45">
    <w:abstractNumId w:val="3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D15"/>
    <w:rsid w:val="00000F8B"/>
    <w:rsid w:val="00013774"/>
    <w:rsid w:val="00022635"/>
    <w:rsid w:val="00026BF9"/>
    <w:rsid w:val="00032A9F"/>
    <w:rsid w:val="00052AE2"/>
    <w:rsid w:val="00057B4A"/>
    <w:rsid w:val="00070A56"/>
    <w:rsid w:val="000977DC"/>
    <w:rsid w:val="000A0F47"/>
    <w:rsid w:val="000C013D"/>
    <w:rsid w:val="000E1DCA"/>
    <w:rsid w:val="000E6999"/>
    <w:rsid w:val="00122432"/>
    <w:rsid w:val="00157D3E"/>
    <w:rsid w:val="0019149D"/>
    <w:rsid w:val="00197C60"/>
    <w:rsid w:val="001B7338"/>
    <w:rsid w:val="001C75CE"/>
    <w:rsid w:val="001D20DD"/>
    <w:rsid w:val="001D4261"/>
    <w:rsid w:val="001F7245"/>
    <w:rsid w:val="00203EEF"/>
    <w:rsid w:val="00204D98"/>
    <w:rsid w:val="002051B1"/>
    <w:rsid w:val="00206DA1"/>
    <w:rsid w:val="00247427"/>
    <w:rsid w:val="00285381"/>
    <w:rsid w:val="002C2FAF"/>
    <w:rsid w:val="002F4731"/>
    <w:rsid w:val="00307A3D"/>
    <w:rsid w:val="00316F99"/>
    <w:rsid w:val="00354746"/>
    <w:rsid w:val="0036141B"/>
    <w:rsid w:val="00365700"/>
    <w:rsid w:val="003801CD"/>
    <w:rsid w:val="00396846"/>
    <w:rsid w:val="003B6329"/>
    <w:rsid w:val="003B64D0"/>
    <w:rsid w:val="003E1235"/>
    <w:rsid w:val="003F24F8"/>
    <w:rsid w:val="003F26B6"/>
    <w:rsid w:val="00404B0B"/>
    <w:rsid w:val="00410E4C"/>
    <w:rsid w:val="00414098"/>
    <w:rsid w:val="0041689F"/>
    <w:rsid w:val="00477467"/>
    <w:rsid w:val="004848F8"/>
    <w:rsid w:val="00484B45"/>
    <w:rsid w:val="004A016E"/>
    <w:rsid w:val="004A5BDD"/>
    <w:rsid w:val="004A6215"/>
    <w:rsid w:val="004C4F7F"/>
    <w:rsid w:val="004D048F"/>
    <w:rsid w:val="004E0218"/>
    <w:rsid w:val="004E1B9F"/>
    <w:rsid w:val="004E2EA4"/>
    <w:rsid w:val="0052241C"/>
    <w:rsid w:val="00543EE8"/>
    <w:rsid w:val="005640DF"/>
    <w:rsid w:val="00592B56"/>
    <w:rsid w:val="005C130D"/>
    <w:rsid w:val="005D505D"/>
    <w:rsid w:val="005E217B"/>
    <w:rsid w:val="00612600"/>
    <w:rsid w:val="006139E0"/>
    <w:rsid w:val="00617467"/>
    <w:rsid w:val="006402A6"/>
    <w:rsid w:val="0067237B"/>
    <w:rsid w:val="006D3289"/>
    <w:rsid w:val="006D58CC"/>
    <w:rsid w:val="00707136"/>
    <w:rsid w:val="00716D9D"/>
    <w:rsid w:val="0072176D"/>
    <w:rsid w:val="00735C54"/>
    <w:rsid w:val="00750F80"/>
    <w:rsid w:val="00762091"/>
    <w:rsid w:val="00763A50"/>
    <w:rsid w:val="007C0671"/>
    <w:rsid w:val="007D1E43"/>
    <w:rsid w:val="007D443C"/>
    <w:rsid w:val="007D65F9"/>
    <w:rsid w:val="007E71F7"/>
    <w:rsid w:val="007F2A09"/>
    <w:rsid w:val="00806A2D"/>
    <w:rsid w:val="00816B57"/>
    <w:rsid w:val="00843B27"/>
    <w:rsid w:val="008455D1"/>
    <w:rsid w:val="008541AF"/>
    <w:rsid w:val="008808B7"/>
    <w:rsid w:val="008A3538"/>
    <w:rsid w:val="008B0953"/>
    <w:rsid w:val="008B3252"/>
    <w:rsid w:val="008C4563"/>
    <w:rsid w:val="008D3386"/>
    <w:rsid w:val="008F3B3F"/>
    <w:rsid w:val="008F5C2E"/>
    <w:rsid w:val="00937833"/>
    <w:rsid w:val="00971D0B"/>
    <w:rsid w:val="00985267"/>
    <w:rsid w:val="00987DFB"/>
    <w:rsid w:val="00996E7A"/>
    <w:rsid w:val="009A057E"/>
    <w:rsid w:val="009C797F"/>
    <w:rsid w:val="009D35D8"/>
    <w:rsid w:val="00A340FD"/>
    <w:rsid w:val="00A40C3A"/>
    <w:rsid w:val="00A50932"/>
    <w:rsid w:val="00A51CD4"/>
    <w:rsid w:val="00A82D15"/>
    <w:rsid w:val="00AD4408"/>
    <w:rsid w:val="00AD763A"/>
    <w:rsid w:val="00AE3A70"/>
    <w:rsid w:val="00B209D9"/>
    <w:rsid w:val="00B3119D"/>
    <w:rsid w:val="00B338C4"/>
    <w:rsid w:val="00B502E2"/>
    <w:rsid w:val="00B52D48"/>
    <w:rsid w:val="00B7022E"/>
    <w:rsid w:val="00B74EB9"/>
    <w:rsid w:val="00B863B7"/>
    <w:rsid w:val="00B96FD0"/>
    <w:rsid w:val="00BA7B6E"/>
    <w:rsid w:val="00BB6B18"/>
    <w:rsid w:val="00BD65DA"/>
    <w:rsid w:val="00BE66A2"/>
    <w:rsid w:val="00C206AC"/>
    <w:rsid w:val="00C2424F"/>
    <w:rsid w:val="00C36760"/>
    <w:rsid w:val="00C6095D"/>
    <w:rsid w:val="00C61055"/>
    <w:rsid w:val="00C76461"/>
    <w:rsid w:val="00C8348F"/>
    <w:rsid w:val="00CB1DC9"/>
    <w:rsid w:val="00CC02D1"/>
    <w:rsid w:val="00CD56F2"/>
    <w:rsid w:val="00CE171F"/>
    <w:rsid w:val="00CE5398"/>
    <w:rsid w:val="00D07561"/>
    <w:rsid w:val="00D45B5C"/>
    <w:rsid w:val="00D6253F"/>
    <w:rsid w:val="00D708ED"/>
    <w:rsid w:val="00D87DAC"/>
    <w:rsid w:val="00DA15BC"/>
    <w:rsid w:val="00DB6C45"/>
    <w:rsid w:val="00DD74C9"/>
    <w:rsid w:val="00DE4C76"/>
    <w:rsid w:val="00E071AC"/>
    <w:rsid w:val="00E1519F"/>
    <w:rsid w:val="00E240E4"/>
    <w:rsid w:val="00E339CD"/>
    <w:rsid w:val="00E46753"/>
    <w:rsid w:val="00E72DB1"/>
    <w:rsid w:val="00E73146"/>
    <w:rsid w:val="00E902EF"/>
    <w:rsid w:val="00E973B9"/>
    <w:rsid w:val="00EB3888"/>
    <w:rsid w:val="00EB3E4D"/>
    <w:rsid w:val="00EE211A"/>
    <w:rsid w:val="00F00014"/>
    <w:rsid w:val="00F017B0"/>
    <w:rsid w:val="00F15F6B"/>
    <w:rsid w:val="00F268D1"/>
    <w:rsid w:val="00F36ED9"/>
    <w:rsid w:val="00F74433"/>
    <w:rsid w:val="00F873D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90C64"/>
  <w15:docId w15:val="{B35B9E75-2B73-4E66-96F2-561A2583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6"/>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9"/>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9"/>
      </w:numPr>
      <w:spacing w:line="240" w:lineRule="exact"/>
    </w:pPr>
    <w:rPr>
      <w:sz w:val="20"/>
      <w:szCs w:val="20"/>
    </w:rPr>
  </w:style>
  <w:style w:type="paragraph" w:customStyle="1" w:styleId="Convenantlidletterstijlinspring">
    <w:name w:val="Convenant lid (letterstijl inspring)"/>
    <w:basedOn w:val="Standaard"/>
    <w:next w:val="Standaard"/>
    <w:pPr>
      <w:numPr>
        <w:numId w:val="8"/>
      </w:numPr>
      <w:spacing w:line="240" w:lineRule="exact"/>
    </w:pPr>
    <w:rPr>
      <w:sz w:val="20"/>
      <w:szCs w:val="20"/>
    </w:rPr>
  </w:style>
  <w:style w:type="paragraph" w:customStyle="1" w:styleId="ConvenantLidletterstijl">
    <w:name w:val="Convenant Lid (letterstijl)"/>
    <w:basedOn w:val="Standaard"/>
    <w:next w:val="Standaard"/>
    <w:pPr>
      <w:numPr>
        <w:numId w:val="7"/>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6"/>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7"/>
      </w:numPr>
      <w:spacing w:line="240" w:lineRule="exact"/>
    </w:pPr>
  </w:style>
  <w:style w:type="paragraph" w:customStyle="1" w:styleId="LedenArt1niv2">
    <w:name w:val="Leden_Art_1_niv2"/>
    <w:basedOn w:val="Standaard"/>
    <w:next w:val="Standaard"/>
    <w:pPr>
      <w:numPr>
        <w:ilvl w:val="1"/>
        <w:numId w:val="27"/>
      </w:numPr>
      <w:spacing w:line="240" w:lineRule="exact"/>
    </w:pPr>
  </w:style>
  <w:style w:type="paragraph" w:customStyle="1" w:styleId="LedenArt10">
    <w:name w:val="Leden_Art_10"/>
    <w:basedOn w:val="Standaard"/>
    <w:next w:val="Standaard"/>
    <w:pPr>
      <w:numPr>
        <w:numId w:val="28"/>
      </w:numPr>
      <w:spacing w:line="240" w:lineRule="exact"/>
    </w:pPr>
  </w:style>
  <w:style w:type="paragraph" w:customStyle="1" w:styleId="LedenArt10niv2">
    <w:name w:val="Leden_Art_10_niv2"/>
    <w:basedOn w:val="Standaard"/>
    <w:next w:val="Standaard"/>
    <w:pPr>
      <w:numPr>
        <w:ilvl w:val="1"/>
        <w:numId w:val="28"/>
      </w:numPr>
      <w:spacing w:line="240" w:lineRule="exact"/>
    </w:pPr>
  </w:style>
  <w:style w:type="paragraph" w:customStyle="1" w:styleId="LedenArt11">
    <w:name w:val="Leden_Art_11"/>
    <w:basedOn w:val="Standaard"/>
    <w:next w:val="Standaard"/>
    <w:pPr>
      <w:numPr>
        <w:numId w:val="29"/>
      </w:numPr>
      <w:spacing w:line="240" w:lineRule="exact"/>
    </w:pPr>
  </w:style>
  <w:style w:type="paragraph" w:customStyle="1" w:styleId="LedenArt3">
    <w:name w:val="Leden_Art_3"/>
    <w:basedOn w:val="Standaard"/>
    <w:next w:val="Standaard"/>
    <w:pPr>
      <w:numPr>
        <w:numId w:val="30"/>
      </w:numPr>
      <w:spacing w:line="240" w:lineRule="exact"/>
    </w:pPr>
  </w:style>
  <w:style w:type="paragraph" w:customStyle="1" w:styleId="LedenArt6">
    <w:name w:val="Leden_Art_6"/>
    <w:basedOn w:val="Standaard"/>
    <w:next w:val="Standaard"/>
    <w:pPr>
      <w:numPr>
        <w:numId w:val="31"/>
      </w:numPr>
      <w:spacing w:line="240" w:lineRule="exact"/>
    </w:pPr>
  </w:style>
  <w:style w:type="paragraph" w:customStyle="1" w:styleId="LedenArt6niv2">
    <w:name w:val="Leden_Art_6_niv2"/>
    <w:basedOn w:val="Standaard"/>
    <w:next w:val="Standaard"/>
    <w:pPr>
      <w:numPr>
        <w:ilvl w:val="1"/>
        <w:numId w:val="31"/>
      </w:numPr>
      <w:spacing w:line="240" w:lineRule="exact"/>
    </w:pPr>
  </w:style>
  <w:style w:type="paragraph" w:customStyle="1" w:styleId="LedenArt7">
    <w:name w:val="Leden_Art_7"/>
    <w:basedOn w:val="Standaard"/>
    <w:next w:val="Standaard"/>
    <w:pPr>
      <w:numPr>
        <w:numId w:val="32"/>
      </w:numPr>
      <w:spacing w:line="240" w:lineRule="exact"/>
    </w:pPr>
  </w:style>
  <w:style w:type="paragraph" w:customStyle="1" w:styleId="LedenArt7niv2">
    <w:name w:val="Leden_Art_7_niv2"/>
    <w:basedOn w:val="Standaard"/>
    <w:next w:val="Standaard"/>
    <w:pPr>
      <w:numPr>
        <w:ilvl w:val="1"/>
        <w:numId w:val="32"/>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1"/>
      </w:numPr>
      <w:spacing w:line="240" w:lineRule="exact"/>
    </w:pPr>
  </w:style>
  <w:style w:type="paragraph" w:customStyle="1" w:styleId="LogiusMTNotitiebullet">
    <w:name w:val="Logius MT Notitie bullet"/>
    <w:basedOn w:val="Standaard"/>
    <w:next w:val="Standaard"/>
    <w:pPr>
      <w:numPr>
        <w:numId w:val="12"/>
      </w:numPr>
      <w:spacing w:line="240" w:lineRule="exact"/>
    </w:pPr>
  </w:style>
  <w:style w:type="paragraph" w:customStyle="1" w:styleId="LogiusMTNotitieopsomming">
    <w:name w:val="Logius MT Notitie opsomming"/>
    <w:basedOn w:val="Standaard"/>
    <w:next w:val="Standaard"/>
    <w:pPr>
      <w:numPr>
        <w:numId w:val="13"/>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2"/>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4"/>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5"/>
      </w:numPr>
      <w:spacing w:line="240" w:lineRule="exact"/>
    </w:pPr>
  </w:style>
  <w:style w:type="paragraph" w:customStyle="1" w:styleId="LogiusOpsomming1aniv2">
    <w:name w:val="Logius Opsomming 1a niv2"/>
    <w:basedOn w:val="Standaard"/>
    <w:next w:val="Standaard"/>
    <w:pPr>
      <w:numPr>
        <w:ilvl w:val="1"/>
        <w:numId w:val="15"/>
      </w:numPr>
      <w:spacing w:line="240" w:lineRule="exact"/>
    </w:pPr>
  </w:style>
  <w:style w:type="paragraph" w:customStyle="1" w:styleId="LogiusOpsommingHoofdletters">
    <w:name w:val="Logius Opsomming Hoofdletters"/>
    <w:basedOn w:val="Standaard"/>
    <w:next w:val="Standaard"/>
    <w:pPr>
      <w:numPr>
        <w:numId w:val="17"/>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0"/>
      </w:numPr>
      <w:spacing w:line="240" w:lineRule="exact"/>
    </w:pPr>
  </w:style>
  <w:style w:type="paragraph" w:customStyle="1" w:styleId="Logiustekstmetopsommingniveau2">
    <w:name w:val="Logius tekst met opsomming niveau 2"/>
    <w:basedOn w:val="Standaard"/>
    <w:next w:val="Standaard"/>
    <w:pPr>
      <w:numPr>
        <w:ilvl w:val="1"/>
        <w:numId w:val="10"/>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6"/>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18"/>
      </w:numPr>
      <w:spacing w:after="700" w:line="300" w:lineRule="exact"/>
    </w:pPr>
    <w:rPr>
      <w:sz w:val="24"/>
      <w:szCs w:val="24"/>
    </w:rPr>
  </w:style>
  <w:style w:type="paragraph" w:customStyle="1" w:styleId="RapportNiveau2">
    <w:name w:val="Rapport_Niveau_2"/>
    <w:basedOn w:val="Standaard"/>
    <w:next w:val="Standaard"/>
    <w:pPr>
      <w:numPr>
        <w:ilvl w:val="1"/>
        <w:numId w:val="18"/>
      </w:numPr>
      <w:spacing w:line="240" w:lineRule="exact"/>
    </w:pPr>
    <w:rPr>
      <w:b/>
    </w:rPr>
  </w:style>
  <w:style w:type="paragraph" w:customStyle="1" w:styleId="RapportNiveau3">
    <w:name w:val="Rapport_Niveau_3"/>
    <w:basedOn w:val="Standaard"/>
    <w:next w:val="Standaard"/>
    <w:pPr>
      <w:numPr>
        <w:ilvl w:val="2"/>
        <w:numId w:val="18"/>
      </w:numPr>
      <w:spacing w:line="240" w:lineRule="exact"/>
    </w:pPr>
    <w:rPr>
      <w:i/>
    </w:rPr>
  </w:style>
  <w:style w:type="paragraph" w:customStyle="1" w:styleId="RapportNiveau4">
    <w:name w:val="Rapport_Niveau_4"/>
    <w:basedOn w:val="Standaard"/>
    <w:next w:val="Standaard"/>
    <w:pPr>
      <w:numPr>
        <w:ilvl w:val="3"/>
        <w:numId w:val="18"/>
      </w:numPr>
      <w:spacing w:line="240" w:lineRule="exact"/>
    </w:pPr>
  </w:style>
  <w:style w:type="paragraph" w:customStyle="1" w:styleId="RapportNiveau5">
    <w:name w:val="Rapport_Niveau_5"/>
    <w:basedOn w:val="Standaard"/>
    <w:next w:val="Standaard"/>
    <w:pPr>
      <w:numPr>
        <w:ilvl w:val="4"/>
        <w:numId w:val="18"/>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19"/>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19"/>
      </w:numPr>
      <w:spacing w:before="200" w:line="300" w:lineRule="exact"/>
    </w:pPr>
    <w:rPr>
      <w:b/>
    </w:rPr>
  </w:style>
  <w:style w:type="paragraph" w:customStyle="1" w:styleId="RapportRijksHuisstijl3">
    <w:name w:val="Rapport_RijksHuisstijl_3"/>
    <w:basedOn w:val="Standaard"/>
    <w:next w:val="Standaard"/>
    <w:qFormat/>
    <w:pPr>
      <w:numPr>
        <w:ilvl w:val="2"/>
        <w:numId w:val="19"/>
      </w:numPr>
      <w:spacing w:before="240" w:line="240" w:lineRule="exact"/>
    </w:pPr>
    <w:rPr>
      <w:i/>
    </w:rPr>
  </w:style>
  <w:style w:type="paragraph" w:customStyle="1" w:styleId="RapportRijksHuisstijl4">
    <w:name w:val="Rapport_RijksHuisstijl_4"/>
    <w:basedOn w:val="Standaard"/>
    <w:next w:val="Standaard"/>
    <w:pPr>
      <w:numPr>
        <w:ilvl w:val="3"/>
        <w:numId w:val="19"/>
      </w:numPr>
      <w:spacing w:line="240" w:lineRule="exact"/>
    </w:pPr>
  </w:style>
  <w:style w:type="paragraph" w:customStyle="1" w:styleId="RapportRijksHuisstijl5">
    <w:name w:val="Rapport_RijksHuisstijl_5"/>
    <w:basedOn w:val="Standaard"/>
    <w:next w:val="Standaard"/>
    <w:pPr>
      <w:numPr>
        <w:ilvl w:val="4"/>
        <w:numId w:val="19"/>
      </w:numPr>
      <w:spacing w:line="240" w:lineRule="exact"/>
    </w:pPr>
  </w:style>
  <w:style w:type="paragraph" w:customStyle="1" w:styleId="RapportRijksHuisstijl6">
    <w:name w:val="Rapport_RijksHuisstijl_6"/>
    <w:basedOn w:val="Standaard"/>
    <w:next w:val="Standaard"/>
    <w:pPr>
      <w:pageBreakBefore/>
      <w:numPr>
        <w:numId w:val="20"/>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1"/>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2"/>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3"/>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4"/>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4"/>
      </w:numPr>
      <w:spacing w:before="180" w:line="300" w:lineRule="exact"/>
    </w:pPr>
  </w:style>
  <w:style w:type="paragraph" w:customStyle="1" w:styleId="Robrfvniv1b11">
    <w:name w:val="Robrfvniv1_b11"/>
    <w:basedOn w:val="Standaard"/>
    <w:next w:val="Standaard"/>
    <w:pPr>
      <w:numPr>
        <w:numId w:val="24"/>
      </w:numPr>
      <w:spacing w:before="360" w:line="300" w:lineRule="exact"/>
    </w:pPr>
    <w:rPr>
      <w:b/>
      <w:sz w:val="22"/>
      <w:szCs w:val="22"/>
    </w:rPr>
  </w:style>
  <w:style w:type="paragraph" w:customStyle="1" w:styleId="Robrfvniv2">
    <w:name w:val="Robrfvniv2"/>
    <w:basedOn w:val="Standaard"/>
    <w:next w:val="Standaard"/>
    <w:pPr>
      <w:numPr>
        <w:ilvl w:val="1"/>
        <w:numId w:val="24"/>
      </w:numPr>
      <w:spacing w:before="180" w:line="300" w:lineRule="exact"/>
    </w:pPr>
    <w:rPr>
      <w:b/>
    </w:rPr>
  </w:style>
  <w:style w:type="paragraph" w:customStyle="1" w:styleId="Robrfvniv3standaard">
    <w:name w:val="Robrfvniv3_standaard"/>
    <w:basedOn w:val="Standaard"/>
    <w:next w:val="Standaard"/>
    <w:pPr>
      <w:numPr>
        <w:ilvl w:val="3"/>
        <w:numId w:val="24"/>
      </w:numPr>
      <w:spacing w:line="240" w:lineRule="exact"/>
    </w:pPr>
  </w:style>
  <w:style w:type="paragraph" w:customStyle="1" w:styleId="Robrfvniv5">
    <w:name w:val="Robrfvniv5"/>
    <w:basedOn w:val="Standaard"/>
    <w:next w:val="Standaard"/>
    <w:pPr>
      <w:numPr>
        <w:ilvl w:val="4"/>
        <w:numId w:val="24"/>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5"/>
      </w:numPr>
      <w:spacing w:after="240" w:line="240" w:lineRule="exact"/>
    </w:pPr>
  </w:style>
  <w:style w:type="paragraph" w:customStyle="1" w:styleId="RVIGTekstbesluitmetletters">
    <w:name w:val="RVIG Tekst besluit met letters"/>
    <w:basedOn w:val="Standaard"/>
    <w:next w:val="Standaard"/>
    <w:pPr>
      <w:numPr>
        <w:numId w:val="26"/>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6"/>
      </w:numPr>
      <w:spacing w:line="240" w:lineRule="exact"/>
    </w:pPr>
    <w:rPr>
      <w:i/>
    </w:rPr>
  </w:style>
  <w:style w:type="paragraph" w:customStyle="1" w:styleId="Subparagraaf2">
    <w:name w:val="Subparagraaf 2"/>
    <w:basedOn w:val="Standaard"/>
    <w:next w:val="Standaard"/>
    <w:pPr>
      <w:numPr>
        <w:ilvl w:val="3"/>
        <w:numId w:val="16"/>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line="240" w:lineRule="exact"/>
    </w:pPr>
    <w:rPr>
      <w:b/>
    </w:rPr>
  </w:style>
  <w:style w:type="paragraph" w:customStyle="1" w:styleId="WOBBesluitBijlageLidArtikel">
    <w:name w:val="WOB Besluit Bijlage Lid Artikel"/>
    <w:basedOn w:val="Standaard"/>
    <w:next w:val="Standaard"/>
    <w:pPr>
      <w:numPr>
        <w:numId w:val="4"/>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5"/>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7F2A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F2A09"/>
    <w:rPr>
      <w:rFonts w:ascii="Verdana" w:hAnsi="Verdana"/>
      <w:color w:val="000000"/>
      <w:sz w:val="18"/>
      <w:szCs w:val="18"/>
    </w:rPr>
  </w:style>
  <w:style w:type="paragraph" w:styleId="Voettekst">
    <w:name w:val="footer"/>
    <w:basedOn w:val="Standaard"/>
    <w:link w:val="VoettekstChar"/>
    <w:uiPriority w:val="99"/>
    <w:unhideWhenUsed/>
    <w:rsid w:val="007F2A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F2A09"/>
    <w:rPr>
      <w:rFonts w:ascii="Verdana" w:hAnsi="Verdana"/>
      <w:color w:val="000000"/>
      <w:sz w:val="18"/>
      <w:szCs w:val="18"/>
    </w:rPr>
  </w:style>
  <w:style w:type="paragraph" w:styleId="Lijstalinea">
    <w:name w:val="List Paragraph"/>
    <w:basedOn w:val="Standaard"/>
    <w:uiPriority w:val="34"/>
    <w:qFormat/>
    <w:rsid w:val="00C206AC"/>
    <w:pPr>
      <w:ind w:left="720"/>
      <w:contextualSpacing/>
    </w:pPr>
  </w:style>
  <w:style w:type="character" w:styleId="Hyperlink">
    <w:name w:val="Hyperlink"/>
    <w:basedOn w:val="Standaardalinea-lettertype"/>
    <w:uiPriority w:val="99"/>
    <w:semiHidden/>
    <w:unhideWhenUsed/>
    <w:rsid w:val="00F017B0"/>
    <w:rPr>
      <w:color w:val="0563C1"/>
      <w:u w:val="single"/>
    </w:rPr>
  </w:style>
  <w:style w:type="paragraph" w:styleId="Voetnoottekst">
    <w:name w:val="footnote text"/>
    <w:basedOn w:val="Standaard"/>
    <w:link w:val="VoetnoottekstChar"/>
    <w:uiPriority w:val="99"/>
    <w:semiHidden/>
    <w:unhideWhenUsed/>
    <w:rsid w:val="00F7443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74433"/>
    <w:rPr>
      <w:rFonts w:ascii="Verdana" w:hAnsi="Verdana"/>
      <w:color w:val="000000"/>
    </w:rPr>
  </w:style>
  <w:style w:type="character" w:styleId="Voetnootmarkering">
    <w:name w:val="footnote reference"/>
    <w:basedOn w:val="Standaardalinea-lettertype"/>
    <w:uiPriority w:val="99"/>
    <w:semiHidden/>
    <w:unhideWhenUsed/>
    <w:rsid w:val="00F74433"/>
    <w:rPr>
      <w:vertAlign w:val="superscript"/>
    </w:rPr>
  </w:style>
  <w:style w:type="paragraph" w:styleId="Tekstopmerking">
    <w:name w:val="annotation text"/>
    <w:basedOn w:val="Standaard"/>
    <w:link w:val="TekstopmerkingChar"/>
    <w:uiPriority w:val="99"/>
    <w:semiHidden/>
    <w:unhideWhenUsed/>
    <w:rsid w:val="00414098"/>
    <w:pPr>
      <w:spacing w:line="240" w:lineRule="auto"/>
      <w:textAlignment w:val="auto"/>
    </w:pPr>
    <w:rPr>
      <w:sz w:val="20"/>
      <w:szCs w:val="20"/>
    </w:rPr>
  </w:style>
  <w:style w:type="character" w:customStyle="1" w:styleId="TekstopmerkingChar">
    <w:name w:val="Tekst opmerking Char"/>
    <w:basedOn w:val="Standaardalinea-lettertype"/>
    <w:link w:val="Tekstopmerking"/>
    <w:uiPriority w:val="99"/>
    <w:semiHidden/>
    <w:rsid w:val="00414098"/>
    <w:rPr>
      <w:rFonts w:ascii="Verdana" w:hAnsi="Verdana"/>
      <w:color w:val="000000"/>
    </w:rPr>
  </w:style>
  <w:style w:type="character" w:styleId="Verwijzingopmerking">
    <w:name w:val="annotation reference"/>
    <w:basedOn w:val="Standaardalinea-lettertype"/>
    <w:uiPriority w:val="99"/>
    <w:semiHidden/>
    <w:unhideWhenUsed/>
    <w:rsid w:val="00414098"/>
    <w:rPr>
      <w:sz w:val="16"/>
      <w:szCs w:val="16"/>
    </w:rPr>
  </w:style>
  <w:style w:type="paragraph" w:styleId="Ballontekst">
    <w:name w:val="Balloon Text"/>
    <w:basedOn w:val="Standaard"/>
    <w:link w:val="BallontekstChar"/>
    <w:uiPriority w:val="99"/>
    <w:semiHidden/>
    <w:unhideWhenUsed/>
    <w:rsid w:val="00414098"/>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1409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1916">
      <w:bodyDiv w:val="1"/>
      <w:marLeft w:val="0"/>
      <w:marRight w:val="0"/>
      <w:marTop w:val="0"/>
      <w:marBottom w:val="0"/>
      <w:divBdr>
        <w:top w:val="none" w:sz="0" w:space="0" w:color="auto"/>
        <w:left w:val="none" w:sz="0" w:space="0" w:color="auto"/>
        <w:bottom w:val="none" w:sz="0" w:space="0" w:color="auto"/>
        <w:right w:val="none" w:sz="0" w:space="0" w:color="auto"/>
      </w:divBdr>
    </w:div>
    <w:div w:id="206793938">
      <w:bodyDiv w:val="1"/>
      <w:marLeft w:val="0"/>
      <w:marRight w:val="0"/>
      <w:marTop w:val="0"/>
      <w:marBottom w:val="0"/>
      <w:divBdr>
        <w:top w:val="none" w:sz="0" w:space="0" w:color="auto"/>
        <w:left w:val="none" w:sz="0" w:space="0" w:color="auto"/>
        <w:bottom w:val="none" w:sz="0" w:space="0" w:color="auto"/>
        <w:right w:val="none" w:sz="0" w:space="0" w:color="auto"/>
      </w:divBdr>
    </w:div>
    <w:div w:id="381447514">
      <w:bodyDiv w:val="1"/>
      <w:marLeft w:val="0"/>
      <w:marRight w:val="0"/>
      <w:marTop w:val="0"/>
      <w:marBottom w:val="0"/>
      <w:divBdr>
        <w:top w:val="none" w:sz="0" w:space="0" w:color="auto"/>
        <w:left w:val="none" w:sz="0" w:space="0" w:color="auto"/>
        <w:bottom w:val="none" w:sz="0" w:space="0" w:color="auto"/>
        <w:right w:val="none" w:sz="0" w:space="0" w:color="auto"/>
      </w:divBdr>
    </w:div>
    <w:div w:id="452794613">
      <w:bodyDiv w:val="1"/>
      <w:marLeft w:val="0"/>
      <w:marRight w:val="0"/>
      <w:marTop w:val="0"/>
      <w:marBottom w:val="0"/>
      <w:divBdr>
        <w:top w:val="none" w:sz="0" w:space="0" w:color="auto"/>
        <w:left w:val="none" w:sz="0" w:space="0" w:color="auto"/>
        <w:bottom w:val="none" w:sz="0" w:space="0" w:color="auto"/>
        <w:right w:val="none" w:sz="0" w:space="0" w:color="auto"/>
      </w:divBdr>
    </w:div>
    <w:div w:id="593704496">
      <w:bodyDiv w:val="1"/>
      <w:marLeft w:val="0"/>
      <w:marRight w:val="0"/>
      <w:marTop w:val="0"/>
      <w:marBottom w:val="0"/>
      <w:divBdr>
        <w:top w:val="none" w:sz="0" w:space="0" w:color="auto"/>
        <w:left w:val="none" w:sz="0" w:space="0" w:color="auto"/>
        <w:bottom w:val="none" w:sz="0" w:space="0" w:color="auto"/>
        <w:right w:val="none" w:sz="0" w:space="0" w:color="auto"/>
      </w:divBdr>
    </w:div>
    <w:div w:id="601691076">
      <w:bodyDiv w:val="1"/>
      <w:marLeft w:val="0"/>
      <w:marRight w:val="0"/>
      <w:marTop w:val="0"/>
      <w:marBottom w:val="0"/>
      <w:divBdr>
        <w:top w:val="none" w:sz="0" w:space="0" w:color="auto"/>
        <w:left w:val="none" w:sz="0" w:space="0" w:color="auto"/>
        <w:bottom w:val="none" w:sz="0" w:space="0" w:color="auto"/>
        <w:right w:val="none" w:sz="0" w:space="0" w:color="auto"/>
      </w:divBdr>
    </w:div>
    <w:div w:id="1001472374">
      <w:bodyDiv w:val="1"/>
      <w:marLeft w:val="0"/>
      <w:marRight w:val="0"/>
      <w:marTop w:val="0"/>
      <w:marBottom w:val="0"/>
      <w:divBdr>
        <w:top w:val="none" w:sz="0" w:space="0" w:color="auto"/>
        <w:left w:val="none" w:sz="0" w:space="0" w:color="auto"/>
        <w:bottom w:val="none" w:sz="0" w:space="0" w:color="auto"/>
        <w:right w:val="none" w:sz="0" w:space="0" w:color="auto"/>
      </w:divBdr>
    </w:div>
    <w:div w:id="1044019891">
      <w:bodyDiv w:val="1"/>
      <w:marLeft w:val="0"/>
      <w:marRight w:val="0"/>
      <w:marTop w:val="0"/>
      <w:marBottom w:val="0"/>
      <w:divBdr>
        <w:top w:val="none" w:sz="0" w:space="0" w:color="auto"/>
        <w:left w:val="none" w:sz="0" w:space="0" w:color="auto"/>
        <w:bottom w:val="none" w:sz="0" w:space="0" w:color="auto"/>
        <w:right w:val="none" w:sz="0" w:space="0" w:color="auto"/>
      </w:divBdr>
    </w:div>
    <w:div w:id="1232887430">
      <w:bodyDiv w:val="1"/>
      <w:marLeft w:val="0"/>
      <w:marRight w:val="0"/>
      <w:marTop w:val="0"/>
      <w:marBottom w:val="0"/>
      <w:divBdr>
        <w:top w:val="none" w:sz="0" w:space="0" w:color="auto"/>
        <w:left w:val="none" w:sz="0" w:space="0" w:color="auto"/>
        <w:bottom w:val="none" w:sz="0" w:space="0" w:color="auto"/>
        <w:right w:val="none" w:sz="0" w:space="0" w:color="auto"/>
      </w:divBdr>
    </w:div>
    <w:div w:id="1729761623">
      <w:bodyDiv w:val="1"/>
      <w:marLeft w:val="0"/>
      <w:marRight w:val="0"/>
      <w:marTop w:val="0"/>
      <w:marBottom w:val="0"/>
      <w:divBdr>
        <w:top w:val="none" w:sz="0" w:space="0" w:color="auto"/>
        <w:left w:val="none" w:sz="0" w:space="0" w:color="auto"/>
        <w:bottom w:val="none" w:sz="0" w:space="0" w:color="auto"/>
        <w:right w:val="none" w:sz="0" w:space="0" w:color="auto"/>
      </w:divBdr>
    </w:div>
    <w:div w:id="1742829025">
      <w:bodyDiv w:val="1"/>
      <w:marLeft w:val="0"/>
      <w:marRight w:val="0"/>
      <w:marTop w:val="0"/>
      <w:marBottom w:val="0"/>
      <w:divBdr>
        <w:top w:val="none" w:sz="0" w:space="0" w:color="auto"/>
        <w:left w:val="none" w:sz="0" w:space="0" w:color="auto"/>
        <w:bottom w:val="none" w:sz="0" w:space="0" w:color="auto"/>
        <w:right w:val="none" w:sz="0" w:space="0" w:color="auto"/>
      </w:divBdr>
    </w:div>
    <w:div w:id="2019772814">
      <w:bodyDiv w:val="1"/>
      <w:marLeft w:val="0"/>
      <w:marRight w:val="0"/>
      <w:marTop w:val="0"/>
      <w:marBottom w:val="0"/>
      <w:divBdr>
        <w:top w:val="none" w:sz="0" w:space="0" w:color="auto"/>
        <w:left w:val="none" w:sz="0" w:space="0" w:color="auto"/>
        <w:bottom w:val="none" w:sz="0" w:space="0" w:color="auto"/>
        <w:right w:val="none" w:sz="0" w:space="0" w:color="auto"/>
      </w:divBdr>
    </w:div>
    <w:div w:id="213767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ennisopenbaarbestuur.nl/media/257397/handleiding-overheidstarieven-2021.pdf" TargetMode="External"/><Relationship Id="rId13" Type="http://schemas.openxmlformats.org/officeDocument/2006/relationships/footer" Target="footer2.xml"/><Relationship Id="rId3" Type="http://schemas.openxmlformats.org/officeDocument/2006/relationships/styles" Target="styles.xml"/><Relationship Id="rId21" Type="http://schemas.openxmlformats.org/officeDocument/2006/relationships/webSetting" Target="webSettings0.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B5095-FF29-48B4-9EBB-9DA39D059D3F}">
  <ds:schemaRefs>
    <ds:schemaRef ds:uri="http://schemas.openxmlformats.org/officeDocument/2006/bibliography"/>
  </ds:schemaRefs>
</ds:datastoreItem>
</file>

<file path=customXml/itemProps2.xml><?xml version="1.0" encoding="utf-8"?>
<ds:datastoreItem xmlns:ds="http://schemas.openxmlformats.org/officeDocument/2006/customXml" ds:itemID="{096B5C8C-3CF7-4E54-8DD2-64DE380F2593}"/>
</file>

<file path=customXml/itemProps3.xml><?xml version="1.0" encoding="utf-8"?>
<ds:datastoreItem xmlns:ds="http://schemas.openxmlformats.org/officeDocument/2006/customXml" ds:itemID="{87E3D4D3-5C5C-4F57-AAD6-853899D22A7B}"/>
</file>

<file path=docProps/app.xml><?xml version="1.0" encoding="utf-8"?>
<Properties xmlns="http://schemas.openxmlformats.org/officeDocument/2006/extended-properties" xmlns:vt="http://schemas.openxmlformats.org/officeDocument/2006/docPropsVTypes">
  <Template>Normal</Template>
  <TotalTime>0</TotalTime>
  <Pages>12</Pages>
  <Words>3983</Words>
  <Characters>21912</Characters>
  <Application>Microsoft Office Word</Application>
  <DocSecurity>0</DocSecurity>
  <Lines>182</Lines>
  <Paragraphs>51</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Dulk, J. den - CJIB/S&amp;B</dc:creator>
  <cp:lastModifiedBy>Alfred Pol</cp:lastModifiedBy>
  <cp:revision>2</cp:revision>
  <dcterms:created xsi:type="dcterms:W3CDTF">2021-04-20T14:43:00Z</dcterms:created>
  <dcterms:modified xsi:type="dcterms:W3CDTF">2021-04-20T14:43:00Z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Kenmerk">
    <vt:lpwstr>2021-0000134365</vt:lpwstr>
  </property>
  <property fmtid="{D5CDD505-2E9C-101B-9397-08002B2CF9AE}" pid="4" name="Onderwerp">
    <vt:lpwstr>Financiële paragraaf POK-Informatiehuishouding</vt:lpwstr>
  </property>
  <property fmtid="{D5CDD505-2E9C-101B-9397-08002B2CF9AE}" pid="5" name="Datum">
    <vt:lpwstr>31 maart 2021</vt:lpwstr>
  </property>
  <property fmtid="{D5CDD505-2E9C-101B-9397-08002B2CF9AE}" pid="6" name="Docgensjabloon">
    <vt:lpwstr>DocGen_Notitie_nl_NL</vt:lpwstr>
  </property>
  <property fmtid="{D5CDD505-2E9C-101B-9397-08002B2CF9AE}" pid="7" name="Aan">
    <vt:lpwstr/>
  </property>
  <property fmtid="{D5CDD505-2E9C-101B-9397-08002B2CF9AE}" pid="8" name="cs_objectid">
    <vt:lpwstr>27791908</vt:lpwstr>
  </property>
</Properties>
</file>