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1933" w14:textId="57B5758D" w:rsidR="0063358E" w:rsidRPr="00922AF2" w:rsidRDefault="00922AF2">
      <w:pPr>
        <w:rPr>
          <w:b/>
          <w:bCs/>
          <w:color w:val="00CC00"/>
          <w:sz w:val="28"/>
          <w:szCs w:val="28"/>
        </w:rPr>
      </w:pPr>
      <w:r>
        <w:rPr>
          <w:b/>
          <w:bCs/>
          <w:noProof/>
          <w:color w:val="00CC00"/>
          <w:sz w:val="28"/>
          <w:szCs w:val="28"/>
        </w:rPr>
        <w:drawing>
          <wp:anchor distT="0" distB="0" distL="114300" distR="114300" simplePos="0" relativeHeight="251658240" behindDoc="0" locked="0" layoutInCell="1" allowOverlap="1" wp14:anchorId="449F3566" wp14:editId="6C50A38B">
            <wp:simplePos x="0" y="0"/>
            <wp:positionH relativeFrom="margin">
              <wp:posOffset>4599305</wp:posOffset>
            </wp:positionH>
            <wp:positionV relativeFrom="paragraph">
              <wp:posOffset>-461645</wp:posOffset>
            </wp:positionV>
            <wp:extent cx="1593850" cy="592455"/>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3850" cy="592455"/>
                    </a:xfrm>
                    <a:prstGeom prst="rect">
                      <a:avLst/>
                    </a:prstGeom>
                    <a:noFill/>
                    <a:ln>
                      <a:noFill/>
                    </a:ln>
                  </pic:spPr>
                </pic:pic>
              </a:graphicData>
            </a:graphic>
          </wp:anchor>
        </w:drawing>
      </w:r>
      <w:r w:rsidR="00E70BE0" w:rsidRPr="00922AF2">
        <w:rPr>
          <w:b/>
          <w:bCs/>
          <w:color w:val="00CC00"/>
          <w:sz w:val="28"/>
          <w:szCs w:val="28"/>
        </w:rPr>
        <w:t xml:space="preserve">Stappenplan </w:t>
      </w:r>
      <w:proofErr w:type="spellStart"/>
      <w:r w:rsidR="00E70BE0" w:rsidRPr="00922AF2">
        <w:rPr>
          <w:b/>
          <w:bCs/>
          <w:color w:val="00CC00"/>
          <w:sz w:val="28"/>
          <w:szCs w:val="28"/>
        </w:rPr>
        <w:t>m</w:t>
      </w:r>
      <w:r w:rsidR="0063358E" w:rsidRPr="00922AF2">
        <w:rPr>
          <w:b/>
          <w:bCs/>
          <w:color w:val="00CC00"/>
          <w:sz w:val="28"/>
          <w:szCs w:val="28"/>
        </w:rPr>
        <w:t>apping</w:t>
      </w:r>
      <w:proofErr w:type="spellEnd"/>
      <w:r w:rsidR="0063358E" w:rsidRPr="00922AF2">
        <w:rPr>
          <w:b/>
          <w:bCs/>
          <w:color w:val="00CC00"/>
          <w:sz w:val="28"/>
          <w:szCs w:val="28"/>
        </w:rPr>
        <w:t xml:space="preserve"> van DMS naar MDTO</w:t>
      </w:r>
    </w:p>
    <w:p w14:paraId="19334FD4" w14:textId="0C85FD18" w:rsidR="005F6020" w:rsidRDefault="005F6020">
      <w:r>
        <w:t xml:space="preserve">De </w:t>
      </w:r>
      <w:proofErr w:type="spellStart"/>
      <w:r>
        <w:t>mapping</w:t>
      </w:r>
      <w:proofErr w:type="spellEnd"/>
      <w:r>
        <w:t xml:space="preserve"> van een DMS naar MDTO is een omvangrijke operatie. Afhankelijk van het doel van de </w:t>
      </w:r>
      <w:proofErr w:type="spellStart"/>
      <w:r>
        <w:t>mapping</w:t>
      </w:r>
      <w:proofErr w:type="spellEnd"/>
      <w:r>
        <w:t xml:space="preserve"> </w:t>
      </w:r>
      <w:r w:rsidR="00BE5F28">
        <w:t>zal</w:t>
      </w:r>
      <w:r>
        <w:t xml:space="preserve"> de ideale werkwijze verschillen. Het stappenplan dat hieronder staat gaat uit van een situatie waarin een DMS wordt </w:t>
      </w:r>
      <w:proofErr w:type="spellStart"/>
      <w:r>
        <w:t>uitgefaseerd</w:t>
      </w:r>
      <w:proofErr w:type="spellEnd"/>
      <w:r>
        <w:t xml:space="preserve"> en gereed wordt gemaakt voor migratie naar een </w:t>
      </w:r>
      <w:proofErr w:type="spellStart"/>
      <w:r>
        <w:t>e-depot</w:t>
      </w:r>
      <w:proofErr w:type="spellEnd"/>
      <w:r>
        <w:t xml:space="preserve">. Het stappenplan volgt hierbij grofweg drie </w:t>
      </w:r>
      <w:r w:rsidR="00E70BE0">
        <w:t xml:space="preserve">fasen, onderverdeeld in </w:t>
      </w:r>
      <w:r w:rsidR="004C617E">
        <w:t xml:space="preserve">zeven </w:t>
      </w:r>
      <w:r w:rsidR="00E70BE0">
        <w:t>stappen</w:t>
      </w:r>
      <w:r>
        <w:t>:</w:t>
      </w:r>
    </w:p>
    <w:p w14:paraId="624DFD8B" w14:textId="669AB0C2" w:rsidR="005F6020" w:rsidRDefault="005F6020" w:rsidP="005F6020">
      <w:pPr>
        <w:pStyle w:val="Lijstalinea"/>
        <w:numPr>
          <w:ilvl w:val="0"/>
          <w:numId w:val="1"/>
        </w:numPr>
      </w:pPr>
      <w:r>
        <w:t>Het verkrijgen van de benodigde kennis en overzichten</w:t>
      </w:r>
    </w:p>
    <w:p w14:paraId="577BFEEE" w14:textId="4D520188" w:rsidR="005F6020" w:rsidRDefault="005F6020" w:rsidP="005F6020">
      <w:pPr>
        <w:pStyle w:val="Lijstalinea"/>
        <w:numPr>
          <w:ilvl w:val="0"/>
          <w:numId w:val="1"/>
        </w:numPr>
      </w:pPr>
      <w:r>
        <w:t xml:space="preserve">Het mappen van het </w:t>
      </w:r>
      <w:proofErr w:type="spellStart"/>
      <w:r>
        <w:t>metadataschema</w:t>
      </w:r>
      <w:proofErr w:type="spellEnd"/>
      <w:r>
        <w:t xml:space="preserve"> van het DMS naar MDTO</w:t>
      </w:r>
    </w:p>
    <w:p w14:paraId="5E119A91" w14:textId="095EEC43" w:rsidR="005F6020" w:rsidRDefault="005F6020" w:rsidP="005F6020">
      <w:pPr>
        <w:pStyle w:val="Lijstalinea"/>
        <w:numPr>
          <w:ilvl w:val="0"/>
          <w:numId w:val="1"/>
        </w:numPr>
      </w:pPr>
      <w:r>
        <w:t xml:space="preserve">Het opdelen van de </w:t>
      </w:r>
      <w:proofErr w:type="spellStart"/>
      <w:r>
        <w:t>mapping</w:t>
      </w:r>
      <w:proofErr w:type="spellEnd"/>
      <w:r>
        <w:t xml:space="preserve"> in </w:t>
      </w:r>
      <w:r w:rsidR="00193A12">
        <w:t>exportprojecten</w:t>
      </w:r>
    </w:p>
    <w:p w14:paraId="1D3074C1" w14:textId="29A6CAA0" w:rsidR="00BE5F28" w:rsidRPr="00922AF2" w:rsidRDefault="00E70BE0">
      <w:pPr>
        <w:rPr>
          <w:b/>
          <w:bCs/>
          <w:color w:val="00CC00"/>
        </w:rPr>
      </w:pPr>
      <w:r>
        <w:rPr>
          <w:b/>
          <w:bCs/>
        </w:rPr>
        <w:br/>
      </w:r>
      <w:r w:rsidRPr="00922AF2">
        <w:rPr>
          <w:b/>
          <w:bCs/>
          <w:color w:val="00CC00"/>
        </w:rPr>
        <w:t>Fase 1: het verkrijgen van de benodigde kennis en overzichten</w:t>
      </w:r>
    </w:p>
    <w:p w14:paraId="77A5409E" w14:textId="135ACB28" w:rsidR="007740FF" w:rsidRDefault="009C30C4">
      <w:r w:rsidRPr="00922AF2">
        <w:rPr>
          <w:b/>
          <w:bCs/>
          <w:color w:val="00CC00"/>
        </w:rPr>
        <w:t>Stap 1</w:t>
      </w:r>
      <w:r>
        <w:t xml:space="preserve">: </w:t>
      </w:r>
      <w:r w:rsidR="007740FF">
        <w:t xml:space="preserve">krijg een basisbegrip van de </w:t>
      </w:r>
      <w:proofErr w:type="spellStart"/>
      <w:r w:rsidR="007740FF">
        <w:t>metadatastandaard</w:t>
      </w:r>
      <w:proofErr w:type="spellEnd"/>
      <w:r w:rsidR="007740FF">
        <w:t xml:space="preserve"> MDTO. Wat zijn de elementen die </w:t>
      </w:r>
      <w:r w:rsidR="00DB3510">
        <w:t xml:space="preserve">in de standaard </w:t>
      </w:r>
      <w:r w:rsidR="007740FF">
        <w:t>worden gehanteerd en op w</w:t>
      </w:r>
      <w:r w:rsidR="00DB3510">
        <w:t xml:space="preserve">at betekent dat voor het uitvoeren van de </w:t>
      </w:r>
      <w:proofErr w:type="spellStart"/>
      <w:r w:rsidR="00DB3510">
        <w:t>mapping</w:t>
      </w:r>
      <w:proofErr w:type="spellEnd"/>
      <w:r w:rsidR="007740FF">
        <w:t xml:space="preserve">? </w:t>
      </w:r>
      <w:r w:rsidR="00DB3510">
        <w:t xml:space="preserve">MDTO kent weinig verplichte elementen en aardig wat ‘verplicht indien bekend’ elementen, waardoor de </w:t>
      </w:r>
      <w:proofErr w:type="spellStart"/>
      <w:r w:rsidR="00DB3510">
        <w:t>mapping</w:t>
      </w:r>
      <w:proofErr w:type="spellEnd"/>
      <w:r w:rsidR="00DB3510">
        <w:t xml:space="preserve"> flexibel kan zijn. </w:t>
      </w:r>
      <w:r w:rsidR="007740FF">
        <w:t>Daarbij kan je gebruik maken van een aantal documenten:</w:t>
      </w:r>
    </w:p>
    <w:p w14:paraId="7EFFB349" w14:textId="7D33F3A2" w:rsidR="007740FF" w:rsidRDefault="007740FF" w:rsidP="007740FF">
      <w:pPr>
        <w:pStyle w:val="Lijstalinea"/>
        <w:numPr>
          <w:ilvl w:val="0"/>
          <w:numId w:val="1"/>
        </w:numPr>
      </w:pPr>
      <w:r>
        <w:t xml:space="preserve">Het </w:t>
      </w:r>
      <w:hyperlink r:id="rId6" w:history="1">
        <w:r w:rsidRPr="007740FF">
          <w:rPr>
            <w:rStyle w:val="Hyperlink"/>
          </w:rPr>
          <w:t>metagegevensschema</w:t>
        </w:r>
      </w:hyperlink>
      <w:r>
        <w:t xml:space="preserve"> zelf</w:t>
      </w:r>
    </w:p>
    <w:p w14:paraId="606C7446" w14:textId="3EF0E6F6" w:rsidR="007740FF" w:rsidRDefault="007740FF" w:rsidP="007740FF">
      <w:pPr>
        <w:pStyle w:val="Lijstalinea"/>
        <w:numPr>
          <w:ilvl w:val="0"/>
          <w:numId w:val="1"/>
        </w:numPr>
      </w:pPr>
      <w:r>
        <w:t xml:space="preserve">De gepubliceerde </w:t>
      </w:r>
      <w:hyperlink r:id="rId7" w:history="1">
        <w:proofErr w:type="spellStart"/>
        <w:r w:rsidRPr="007740FF">
          <w:rPr>
            <w:rStyle w:val="Hyperlink"/>
          </w:rPr>
          <w:t>mapping</w:t>
        </w:r>
        <w:proofErr w:type="spellEnd"/>
        <w:r w:rsidRPr="007740FF">
          <w:rPr>
            <w:rStyle w:val="Hyperlink"/>
          </w:rPr>
          <w:t xml:space="preserve"> template</w:t>
        </w:r>
      </w:hyperlink>
    </w:p>
    <w:p w14:paraId="0425DBA5" w14:textId="13F1E475" w:rsidR="004E5F2E" w:rsidRDefault="007740FF">
      <w:r w:rsidRPr="00922AF2">
        <w:rPr>
          <w:b/>
          <w:bCs/>
          <w:color w:val="00CC00"/>
        </w:rPr>
        <w:t>Stap 2</w:t>
      </w:r>
      <w:r w:rsidRPr="007740FF">
        <w:rPr>
          <w:b/>
          <w:bCs/>
        </w:rPr>
        <w:t>:</w:t>
      </w:r>
      <w:r>
        <w:t xml:space="preserve"> </w:t>
      </w:r>
      <w:r w:rsidR="004E5F2E">
        <w:t>breng</w:t>
      </w:r>
      <w:r w:rsidR="009C30C4">
        <w:t xml:space="preserve"> het </w:t>
      </w:r>
      <w:proofErr w:type="spellStart"/>
      <w:r w:rsidR="009C30C4">
        <w:t>metadataschema</w:t>
      </w:r>
      <w:proofErr w:type="spellEnd"/>
      <w:r w:rsidR="009C30C4">
        <w:t xml:space="preserve"> van het DMS</w:t>
      </w:r>
      <w:r w:rsidR="004E5F2E">
        <w:t xml:space="preserve"> in beeld, liefst van alle tabellen waarin procesinformatie wordt geregistreerd</w:t>
      </w:r>
      <w:r w:rsidR="009C30C4">
        <w:t>.</w:t>
      </w:r>
      <w:r w:rsidR="00EF3CE2">
        <w:t xml:space="preserve"> </w:t>
      </w:r>
      <w:r w:rsidR="004E5F2E">
        <w:t xml:space="preserve">Zorg ervoor dat in dat overzicht zowel de front-end naam als de </w:t>
      </w:r>
      <w:proofErr w:type="spellStart"/>
      <w:r w:rsidR="004E5F2E">
        <w:t>back-end</w:t>
      </w:r>
      <w:proofErr w:type="spellEnd"/>
      <w:r w:rsidR="004E5F2E">
        <w:t xml:space="preserve"> naam van individuele tabellen wordt vermeld. </w:t>
      </w:r>
      <w:r w:rsidR="00EE01E5">
        <w:t xml:space="preserve">In sommige DMS-systemen heeft de leverancier een tussenlaag ingebouwd, waarin de gebruiker eigen </w:t>
      </w:r>
      <w:proofErr w:type="spellStart"/>
      <w:r w:rsidR="00EE01E5">
        <w:t>metadatamodellen</w:t>
      </w:r>
      <w:proofErr w:type="spellEnd"/>
      <w:r w:rsidR="00EE01E5">
        <w:t xml:space="preserve"> kan opstellen. De itemprofielen binnen JOIN van leverancier </w:t>
      </w:r>
      <w:proofErr w:type="spellStart"/>
      <w:r w:rsidR="00EE01E5">
        <w:t>Decos</w:t>
      </w:r>
      <w:proofErr w:type="spellEnd"/>
      <w:r w:rsidR="00EE01E5">
        <w:t xml:space="preserve"> is een voorbeeld daarvan. In zo’n geval dienen ook alle instanties van die tussenlaag in beeld te zijn. </w:t>
      </w:r>
    </w:p>
    <w:p w14:paraId="669111CA" w14:textId="1E99065A" w:rsidR="009C30C4" w:rsidRDefault="004E5F2E">
      <w:r w:rsidRPr="00922AF2">
        <w:rPr>
          <w:b/>
          <w:bCs/>
          <w:color w:val="00CC00"/>
        </w:rPr>
        <w:t>Stap 3</w:t>
      </w:r>
      <w:r w:rsidRPr="00EE01E5">
        <w:rPr>
          <w:b/>
          <w:bCs/>
        </w:rPr>
        <w:t>:</w:t>
      </w:r>
      <w:r>
        <w:t xml:space="preserve"> </w:t>
      </w:r>
      <w:r w:rsidR="00845ED6">
        <w:t>v</w:t>
      </w:r>
      <w:r w:rsidR="00EF3CE2">
        <w:t xml:space="preserve">erkrijg </w:t>
      </w:r>
      <w:r w:rsidR="00EE01E5">
        <w:t xml:space="preserve">een beeld van </w:t>
      </w:r>
      <w:r w:rsidR="00EF3CE2">
        <w:t xml:space="preserve">welke waarden er in </w:t>
      </w:r>
      <w:r w:rsidR="00EE01E5">
        <w:t xml:space="preserve">de tabellen van </w:t>
      </w:r>
      <w:r w:rsidR="00EF3CE2">
        <w:t xml:space="preserve">het </w:t>
      </w:r>
      <w:proofErr w:type="spellStart"/>
      <w:r w:rsidR="00EF3CE2">
        <w:t>metadataschema</w:t>
      </w:r>
      <w:proofErr w:type="spellEnd"/>
      <w:r w:rsidR="00EF3CE2">
        <w:t xml:space="preserve"> zijn geregistreerd, door bijvoorbeeld in CSV enkele registraties van deze schema</w:t>
      </w:r>
      <w:r>
        <w:t>’</w:t>
      </w:r>
      <w:r w:rsidR="00EF3CE2">
        <w:t xml:space="preserve">s te exporteren. </w:t>
      </w:r>
      <w:r w:rsidR="00EE01E5">
        <w:t>Dit helpt om beter begrip te krijgen van hoe de velden zijn gebruikt</w:t>
      </w:r>
      <w:r w:rsidR="00862ED5">
        <w:t>, wat weer helpt bij het mappen naar MDTO</w:t>
      </w:r>
      <w:r w:rsidR="00EE01E5">
        <w:t xml:space="preserve">. </w:t>
      </w:r>
      <w:r>
        <w:t xml:space="preserve">Soms hebben </w:t>
      </w:r>
      <w:proofErr w:type="spellStart"/>
      <w:r>
        <w:t>DMS’en</w:t>
      </w:r>
      <w:proofErr w:type="spellEnd"/>
      <w:r>
        <w:t xml:space="preserve"> een rapportagetool die daarvoor kan worden gebruikt, of bestaat een externe tool. Anders kan het ook via rechtstreekse benadering van de database met behulp van</w:t>
      </w:r>
      <w:r w:rsidR="00EF3CE2">
        <w:t xml:space="preserve"> SQL.</w:t>
      </w:r>
    </w:p>
    <w:p w14:paraId="59A36F54" w14:textId="11AAD435" w:rsidR="00D833E3" w:rsidRDefault="00D833E3" w:rsidP="00D833E3">
      <w:r w:rsidRPr="00922AF2">
        <w:rPr>
          <w:b/>
          <w:bCs/>
          <w:color w:val="00CC00"/>
        </w:rPr>
        <w:t>Stap 4</w:t>
      </w:r>
      <w:r>
        <w:t xml:space="preserve">: analyseer het </w:t>
      </w:r>
      <w:proofErr w:type="spellStart"/>
      <w:r>
        <w:t>metadataschema</w:t>
      </w:r>
      <w:proofErr w:type="spellEnd"/>
      <w:r>
        <w:t xml:space="preserve"> van het DMS. Wat zijn de bouwstenen daarin? Zijn er gegevens te clusteren in hoofdonderwerpen? Volgens welke logica is het DMS opgebouwd en onderverdeeld? Haal hier ook informatie uit eventuele functioneel/technisch beheerderhandleidingen die er binnen de organisatie aanwezig zijn van het systeem.</w:t>
      </w:r>
    </w:p>
    <w:p w14:paraId="3A005422" w14:textId="0DD41179" w:rsidR="00D833E3" w:rsidRPr="00922AF2" w:rsidRDefault="00D833E3">
      <w:pPr>
        <w:rPr>
          <w:b/>
          <w:bCs/>
          <w:color w:val="00CC00"/>
        </w:rPr>
      </w:pPr>
      <w:r w:rsidRPr="00922AF2">
        <w:rPr>
          <w:b/>
          <w:bCs/>
          <w:color w:val="00CC00"/>
        </w:rPr>
        <w:t xml:space="preserve">Fase 2: het mappen van het </w:t>
      </w:r>
      <w:proofErr w:type="spellStart"/>
      <w:r w:rsidRPr="00922AF2">
        <w:rPr>
          <w:b/>
          <w:bCs/>
          <w:color w:val="00CC00"/>
        </w:rPr>
        <w:t>metadataschema</w:t>
      </w:r>
      <w:proofErr w:type="spellEnd"/>
      <w:r w:rsidRPr="00922AF2">
        <w:rPr>
          <w:b/>
          <w:bCs/>
          <w:color w:val="00CC00"/>
        </w:rPr>
        <w:t xml:space="preserve"> van het DMS naar MDTO</w:t>
      </w:r>
    </w:p>
    <w:p w14:paraId="5FA08CB2" w14:textId="7FCC41F4" w:rsidR="004C617E" w:rsidRPr="004C617E" w:rsidRDefault="004C617E">
      <w:r>
        <w:t xml:space="preserve">Deze fase is het omvangrijkste onderdeel, en is opgedeeld in drie stappen. Stap 5 en 6 kunnen ook gezamenlijk worden opgepakt door de resultaten daarvan in verschillende kolommen in hetzelfde Excel-bestand bij te houden. </w:t>
      </w:r>
    </w:p>
    <w:p w14:paraId="2E88E435" w14:textId="0B4B3799" w:rsidR="007A7A57" w:rsidRDefault="009C30C4">
      <w:r w:rsidRPr="00922AF2">
        <w:rPr>
          <w:b/>
          <w:bCs/>
          <w:color w:val="00CC00"/>
        </w:rPr>
        <w:t xml:space="preserve">Stap </w:t>
      </w:r>
      <w:r w:rsidR="003D1229" w:rsidRPr="00922AF2">
        <w:rPr>
          <w:b/>
          <w:bCs/>
          <w:color w:val="00CC00"/>
        </w:rPr>
        <w:t>5</w:t>
      </w:r>
      <w:r w:rsidRPr="0063358E">
        <w:rPr>
          <w:b/>
          <w:bCs/>
        </w:rPr>
        <w:t>:</w:t>
      </w:r>
      <w:r>
        <w:t xml:space="preserve"> </w:t>
      </w:r>
      <w:r w:rsidR="00D833E3">
        <w:t xml:space="preserve">map </w:t>
      </w:r>
      <w:r w:rsidR="006C0556">
        <w:t xml:space="preserve">de tabellen van </w:t>
      </w:r>
      <w:r w:rsidR="00D833E3">
        <w:t xml:space="preserve">het </w:t>
      </w:r>
      <w:proofErr w:type="spellStart"/>
      <w:r w:rsidR="006C0556">
        <w:t>metadataschema</w:t>
      </w:r>
      <w:proofErr w:type="spellEnd"/>
      <w:r w:rsidR="006C0556">
        <w:t xml:space="preserve"> </w:t>
      </w:r>
      <w:r w:rsidR="00D833E3">
        <w:t xml:space="preserve">globaal naar objecttypen van MDTO. Is een </w:t>
      </w:r>
      <w:r w:rsidR="003D1229">
        <w:t>tabel</w:t>
      </w:r>
      <w:r w:rsidR="00D833E3">
        <w:t xml:space="preserve"> niet relevant voor overbrenging/uitplaatsing? Dan</w:t>
      </w:r>
      <w:r w:rsidR="003D1229">
        <w:t xml:space="preserve"> kan in deze stap worden gekozen deze tabellen uit te sluiten van de rest van de </w:t>
      </w:r>
      <w:proofErr w:type="spellStart"/>
      <w:r w:rsidR="003D1229">
        <w:t>mapping</w:t>
      </w:r>
      <w:proofErr w:type="spellEnd"/>
      <w:r w:rsidR="003D1229">
        <w:t xml:space="preserve">. </w:t>
      </w:r>
    </w:p>
    <w:p w14:paraId="597BAAA7" w14:textId="5D3B51D9" w:rsidR="003D1229" w:rsidRDefault="003D1229">
      <w:r>
        <w:t xml:space="preserve">De objecttypen waarnaar </w:t>
      </w:r>
      <w:proofErr w:type="spellStart"/>
      <w:r>
        <w:t>gemapt</w:t>
      </w:r>
      <w:proofErr w:type="spellEnd"/>
      <w:r>
        <w:t xml:space="preserve"> kan worden zijn: informatieobject, bestand, locatie, actor, bedrijfsactiviteit</w:t>
      </w:r>
      <w:r w:rsidR="006C0556">
        <w:t xml:space="preserve">. </w:t>
      </w:r>
    </w:p>
    <w:p w14:paraId="3A4F8E6A" w14:textId="7C811B70" w:rsidR="00EF3CE2" w:rsidRDefault="00EF3CE2">
      <w:r w:rsidRPr="00922AF2">
        <w:rPr>
          <w:b/>
          <w:bCs/>
          <w:color w:val="00CC00"/>
        </w:rPr>
        <w:lastRenderedPageBreak/>
        <w:t xml:space="preserve">Stap </w:t>
      </w:r>
      <w:r w:rsidR="003D1229" w:rsidRPr="00922AF2">
        <w:rPr>
          <w:b/>
          <w:bCs/>
          <w:color w:val="00CC00"/>
        </w:rPr>
        <w:t>6</w:t>
      </w:r>
      <w:r w:rsidRPr="0063358E">
        <w:rPr>
          <w:b/>
          <w:bCs/>
        </w:rPr>
        <w:t>:</w:t>
      </w:r>
      <w:r>
        <w:t xml:space="preserve"> map de </w:t>
      </w:r>
      <w:r w:rsidR="003D1229">
        <w:t>overgebleven bouwstenen met bijbehorende attributen</w:t>
      </w:r>
      <w:r>
        <w:t xml:space="preserve"> naar MDTO.</w:t>
      </w:r>
      <w:r w:rsidR="003D1229">
        <w:t xml:space="preserve"> Neem in dit overzicht zowel de front-end als de </w:t>
      </w:r>
      <w:proofErr w:type="spellStart"/>
      <w:r w:rsidR="003D1229">
        <w:t>back-end</w:t>
      </w:r>
      <w:proofErr w:type="spellEnd"/>
      <w:r w:rsidR="003D1229">
        <w:t xml:space="preserve"> naam op die het </w:t>
      </w:r>
      <w:r w:rsidR="006C0556">
        <w:t xml:space="preserve">attribuut heeft </w:t>
      </w:r>
      <w:r w:rsidR="003D1229">
        <w:t>binnen het bronsysteem, zodat een exporteur weet uit welk veld de data gehaald kan worden.</w:t>
      </w:r>
      <w:r w:rsidR="006C0556">
        <w:t xml:space="preserve"> </w:t>
      </w:r>
    </w:p>
    <w:p w14:paraId="4C49A6C4" w14:textId="63761C6F" w:rsidR="00862ED5" w:rsidRPr="00CF4F3D" w:rsidRDefault="00862ED5" w:rsidP="00862ED5">
      <w:r w:rsidRPr="00922AF2">
        <w:rPr>
          <w:b/>
          <w:bCs/>
          <w:color w:val="00CC00"/>
        </w:rPr>
        <w:t>Stap 7</w:t>
      </w:r>
      <w:r>
        <w:rPr>
          <w:b/>
          <w:bCs/>
        </w:rPr>
        <w:t xml:space="preserve">: </w:t>
      </w:r>
      <w:r>
        <w:t xml:space="preserve">doe een </w:t>
      </w:r>
      <w:proofErr w:type="spellStart"/>
      <w:r>
        <w:t>telli</w:t>
      </w:r>
      <w:proofErr w:type="spellEnd"/>
      <w:r w:rsidR="00922AF2">
        <w:rPr>
          <w:noProof/>
        </w:rPr>
        <w:drawing>
          <wp:inline distT="0" distB="0" distL="0" distR="0" wp14:anchorId="75F33ABC" wp14:editId="4AA2D299">
            <wp:extent cx="3771900" cy="14033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403350"/>
                    </a:xfrm>
                    <a:prstGeom prst="rect">
                      <a:avLst/>
                    </a:prstGeom>
                    <a:noFill/>
                    <a:ln>
                      <a:noFill/>
                    </a:ln>
                  </pic:spPr>
                </pic:pic>
              </a:graphicData>
            </a:graphic>
          </wp:inline>
        </w:drawing>
      </w:r>
      <w:proofErr w:type="spellStart"/>
      <w:r>
        <w:t>ng</w:t>
      </w:r>
      <w:proofErr w:type="spellEnd"/>
      <w:r>
        <w:t xml:space="preserve"> van hoe vaak de velden in het </w:t>
      </w:r>
      <w:proofErr w:type="spellStart"/>
      <w:r>
        <w:t>metadataschema</w:t>
      </w:r>
      <w:proofErr w:type="spellEnd"/>
      <w:r>
        <w:t xml:space="preserve"> zijn gevuld. Hoe vaak een veld is gevuld zegt iets over de relevantie en de registratiekwaliteit ervan. Dit kan een criterium zijn bij het selecteren van velden voor de export, of een verbeterpunt opleveren voor de archiefvormer. Als uit de </w:t>
      </w:r>
      <w:proofErr w:type="spellStart"/>
      <w:r>
        <w:t>mapping</w:t>
      </w:r>
      <w:proofErr w:type="spellEnd"/>
      <w:r>
        <w:t xml:space="preserve"> is gebleken dat een veld belangrijk is, maar uit deze stap blijkt dat het maar enkele keren is gevuld, is dat reden voor extra onderzoek. Een telling kan worden uitgevoerd met een rapportagetool of direct op de database met SQL.</w:t>
      </w:r>
    </w:p>
    <w:p w14:paraId="2FAAF36F" w14:textId="157345B7" w:rsidR="00862ED5" w:rsidRPr="00922AF2" w:rsidRDefault="00862ED5">
      <w:pPr>
        <w:rPr>
          <w:b/>
          <w:bCs/>
          <w:color w:val="00CC00"/>
        </w:rPr>
      </w:pPr>
      <w:r w:rsidRPr="00922AF2">
        <w:rPr>
          <w:b/>
          <w:bCs/>
          <w:color w:val="00CC00"/>
        </w:rPr>
        <w:t xml:space="preserve">Fase 3: het opdelen van de </w:t>
      </w:r>
      <w:proofErr w:type="spellStart"/>
      <w:r w:rsidRPr="00922AF2">
        <w:rPr>
          <w:b/>
          <w:bCs/>
          <w:color w:val="00CC00"/>
        </w:rPr>
        <w:t>mapping</w:t>
      </w:r>
      <w:proofErr w:type="spellEnd"/>
      <w:r w:rsidRPr="00922AF2">
        <w:rPr>
          <w:b/>
          <w:bCs/>
          <w:color w:val="00CC00"/>
        </w:rPr>
        <w:t xml:space="preserve"> in exportprojecten</w:t>
      </w:r>
    </w:p>
    <w:p w14:paraId="024645B7" w14:textId="5178AEF5" w:rsidR="00862ED5" w:rsidRPr="00862ED5" w:rsidRDefault="00862ED5">
      <w:r w:rsidRPr="00922AF2">
        <w:rPr>
          <w:b/>
          <w:bCs/>
          <w:color w:val="00CC00"/>
        </w:rPr>
        <w:t>Stap 7</w:t>
      </w:r>
      <w:r>
        <w:t xml:space="preserve">: bepaal op welke wijze de </w:t>
      </w:r>
      <w:proofErr w:type="spellStart"/>
      <w:r>
        <w:t>mapping</w:t>
      </w:r>
      <w:proofErr w:type="spellEnd"/>
      <w:r>
        <w:t xml:space="preserve"> wordt onderverdeeld in exportprojecten. </w:t>
      </w:r>
      <w:r w:rsidR="00620CD5">
        <w:t xml:space="preserve">Doe dit in overleg met de exporteur en de ontvangende partij. Vaak stelt het doelsysteem ook eisen aan de aanlevering. </w:t>
      </w:r>
    </w:p>
    <w:sectPr w:rsidR="00862ED5" w:rsidRPr="00862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E58"/>
    <w:multiLevelType w:val="hybridMultilevel"/>
    <w:tmpl w:val="11E6FEA2"/>
    <w:lvl w:ilvl="0" w:tplc="FEE41160">
      <w:start w:val="5"/>
      <w:numFmt w:val="bullet"/>
      <w:lvlText w:val="-"/>
      <w:lvlJc w:val="left"/>
      <w:pPr>
        <w:ind w:left="410" w:hanging="360"/>
      </w:pPr>
      <w:rPr>
        <w:rFonts w:ascii="Calibri" w:eastAsiaTheme="minorHAnsi" w:hAnsi="Calibri" w:cs="Calibri" w:hint="default"/>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num w:numId="1" w16cid:durableId="14058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C4"/>
    <w:rsid w:val="00193A12"/>
    <w:rsid w:val="003D1229"/>
    <w:rsid w:val="00433E3F"/>
    <w:rsid w:val="00480E26"/>
    <w:rsid w:val="004C617E"/>
    <w:rsid w:val="004E5F2E"/>
    <w:rsid w:val="005F6020"/>
    <w:rsid w:val="00620CD5"/>
    <w:rsid w:val="0063358E"/>
    <w:rsid w:val="006C0556"/>
    <w:rsid w:val="007740FF"/>
    <w:rsid w:val="007D14FD"/>
    <w:rsid w:val="00845ED6"/>
    <w:rsid w:val="00862ED5"/>
    <w:rsid w:val="00922AF2"/>
    <w:rsid w:val="009C30C4"/>
    <w:rsid w:val="00BE5F28"/>
    <w:rsid w:val="00CF4F3D"/>
    <w:rsid w:val="00D833E3"/>
    <w:rsid w:val="00DB3510"/>
    <w:rsid w:val="00E6440F"/>
    <w:rsid w:val="00E70BE0"/>
    <w:rsid w:val="00EE01E5"/>
    <w:rsid w:val="00EF3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1158"/>
  <w15:chartTrackingRefBased/>
  <w15:docId w15:val="{D2DFF111-B31D-43B5-8924-84CD6914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6020"/>
    <w:pPr>
      <w:ind w:left="720"/>
      <w:contextualSpacing/>
    </w:pPr>
  </w:style>
  <w:style w:type="character" w:styleId="Hyperlink">
    <w:name w:val="Hyperlink"/>
    <w:basedOn w:val="Standaardalinea-lettertype"/>
    <w:uiPriority w:val="99"/>
    <w:unhideWhenUsed/>
    <w:rsid w:val="007740FF"/>
    <w:rPr>
      <w:color w:val="0563C1" w:themeColor="hyperlink"/>
      <w:u w:val="single"/>
    </w:rPr>
  </w:style>
  <w:style w:type="character" w:styleId="Onopgelostemelding">
    <w:name w:val="Unresolved Mention"/>
    <w:basedOn w:val="Standaardalinea-lettertype"/>
    <w:uiPriority w:val="99"/>
    <w:semiHidden/>
    <w:unhideWhenUsed/>
    <w:rsid w:val="0077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kia.pleio.nl/groups/view/184556a0-c96b-42a0-a2ee-b8f97f61b053/kennisplatform-metadata/blog/view/56ec9963-9322-4759-a2f8-05c122dd2511/mapping-template-mdto-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alarchief.nl/archiveren/mdto/metagegevensschema"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2D786-A57E-49E6-AB1F-ED72AD9CEF1E}"/>
</file>

<file path=customXml/itemProps2.xml><?xml version="1.0" encoding="utf-8"?>
<ds:datastoreItem xmlns:ds="http://schemas.openxmlformats.org/officeDocument/2006/customXml" ds:itemID="{4FD3D7C5-D7A0-4486-B2CE-A7A9FA1EB609}"/>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3690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Masselink</dc:creator>
  <cp:keywords/>
  <dc:description/>
  <cp:lastModifiedBy>Léon Masselink</cp:lastModifiedBy>
  <cp:revision>2</cp:revision>
  <dcterms:created xsi:type="dcterms:W3CDTF">2022-08-28T13:56:00Z</dcterms:created>
  <dcterms:modified xsi:type="dcterms:W3CDTF">2022-08-28T13:56:00Z</dcterms:modified>
</cp:coreProperties>
</file>