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FCCD" w14:textId="02D4DCB6" w:rsidR="00C74249" w:rsidRDefault="006B047F" w:rsidP="006B047F">
      <w:pPr>
        <w:pStyle w:val="Titel"/>
      </w:pPr>
      <w:r>
        <w:t>DUTO-</w:t>
      </w:r>
      <w:r w:rsidR="006F55AB">
        <w:t xml:space="preserve">proces </w:t>
      </w:r>
      <w:r w:rsidR="003A4F83">
        <w:t>ter beschikking stellen</w:t>
      </w:r>
      <w:r w:rsidR="004E6621" w:rsidRPr="004E6621">
        <w:t xml:space="preserve"> </w:t>
      </w:r>
    </w:p>
    <w:p w14:paraId="28670E6E" w14:textId="51F219BF" w:rsidR="004E1A95" w:rsidRPr="00B00969" w:rsidRDefault="00B00969" w:rsidP="006B047F">
      <w:pPr>
        <w:pStyle w:val="Kop1"/>
      </w:pPr>
      <w:r>
        <w:t>Definitie</w:t>
      </w:r>
      <w:r w:rsidR="001C1CA5">
        <w:t xml:space="preserve"> (wat)</w:t>
      </w:r>
    </w:p>
    <w:p w14:paraId="13506A68" w14:textId="29F95DCB" w:rsidR="00247161" w:rsidRPr="00406306" w:rsidRDefault="00D73C78" w:rsidP="00D73C78">
      <w:pPr>
        <w:rPr>
          <w:rFonts w:cstheme="minorHAnsi"/>
        </w:rPr>
      </w:pPr>
      <w:r w:rsidRPr="00406306">
        <w:t>Het DUTO-proces ter beschikking stellen gaat over de activiteiten die nodig zijn om overheidsinformatie</w:t>
      </w:r>
      <w:r w:rsidR="00247161" w:rsidRPr="00406306">
        <w:t xml:space="preserve"> beschikbaar te maken voor</w:t>
      </w:r>
      <w:r w:rsidRPr="00406306">
        <w:t xml:space="preserve"> primaire en secundaire gebruikers ten behoeve van (her)gebruik.</w:t>
      </w:r>
    </w:p>
    <w:p w14:paraId="025E8ED2" w14:textId="173F3B09" w:rsidR="00247161" w:rsidRDefault="00247161" w:rsidP="00247161">
      <w:pPr>
        <w:pStyle w:val="Kop1"/>
      </w:pPr>
      <w:r>
        <w:t>Procesbeschrijving</w:t>
      </w:r>
    </w:p>
    <w:p w14:paraId="6FC8990A" w14:textId="60FDB715" w:rsidR="00247161" w:rsidRDefault="00247161" w:rsidP="00247161">
      <w:r>
        <w:t xml:space="preserve">Het DUTO-proces “ter beschikking stellen” hangt samen met andere DUTO-processen. Het wordt voorafgegaan door registratie (informatie moet geregistreerd zijn om beschikbaar gesteld te kunnen worden). Het kan nodig zijn om informatie eerst te </w:t>
      </w:r>
      <w:commentRangeStart w:id="0"/>
      <w:commentRangeStart w:id="1"/>
      <w:r>
        <w:t>migreren</w:t>
      </w:r>
      <w:commentRangeEnd w:id="0"/>
      <w:r w:rsidR="000C630E">
        <w:rPr>
          <w:rStyle w:val="Verwijzingopmerking"/>
        </w:rPr>
        <w:commentReference w:id="0"/>
      </w:r>
      <w:commentRangeEnd w:id="1"/>
      <w:r w:rsidR="00D33D66">
        <w:rPr>
          <w:rStyle w:val="Verwijzingopmerking"/>
        </w:rPr>
        <w:commentReference w:id="1"/>
      </w:r>
      <w:r>
        <w:t xml:space="preserve"> (bijvoorbeeld naar een publicatieplatform van een organisatie – denk aan een website). </w:t>
      </w:r>
      <w:r w:rsidR="00A85ACD">
        <w:t>Samenhang met het proces bewaren is nodig om informatie door de tijd heen beschikbaar te houden. En het beschikbaar zijn van informatie duurt tot het moment waarop die informatie vernietigd is, een uitvloeisel van het proces vernietigen.</w:t>
      </w:r>
    </w:p>
    <w:p w14:paraId="00659200" w14:textId="27AEA097" w:rsidR="00A85ACD" w:rsidRDefault="00A85ACD" w:rsidP="00247161">
      <w:r>
        <w:t xml:space="preserve">Een goede inrichting van het proces van ter beschikking stellen van informatie is noodzakelijk om gebruikers kennis te kunnen laten nemen van de informatie waartoe zij gerechtigd zijn om deze in te zien. Ter beschikking stellen van informatie dient in alle redelijkheid te gebeuren en op een manier die aansluit op de verwachtingen die gebruikers hebben. Informatie wordt idealiter </w:t>
      </w:r>
      <w:r w:rsidR="007905E1">
        <w:t>proactief</w:t>
      </w:r>
      <w:r>
        <w:t xml:space="preserve"> beschikbaar besteld. Waar informatie op verzoek beschikbaar wordt gesteld, worden gebruikers redelijkerwijs niet geconfronteerd met</w:t>
      </w:r>
      <w:r w:rsidR="007905E1">
        <w:t xml:space="preserve"> barrières, zoals</w:t>
      </w:r>
      <w:r>
        <w:t xml:space="preserve"> (hoge) kosten of lange doorlooptijden.</w:t>
      </w:r>
      <w:r w:rsidR="007905E1">
        <w:t xml:space="preserve"> Door een proactieve benadering en het wegnemen van barrières bij het ter beschikking stellen van informatie kan worden voldaan aan wet- en regelgeving (denk aan </w:t>
      </w:r>
      <w:r w:rsidR="005744E4">
        <w:t xml:space="preserve">het binnen de gestelde termijnen beantwoorden van </w:t>
      </w:r>
      <w:proofErr w:type="spellStart"/>
      <w:r w:rsidR="007905E1">
        <w:t>Woo</w:t>
      </w:r>
      <w:proofErr w:type="spellEnd"/>
      <w:r w:rsidR="005744E4">
        <w:t>- of informatieverzoeken</w:t>
      </w:r>
      <w:r w:rsidR="007905E1">
        <w:t xml:space="preserve"> of aan </w:t>
      </w:r>
      <w:r w:rsidR="005744E4">
        <w:t xml:space="preserve">hergebruik van informatie in het kader van </w:t>
      </w:r>
      <w:r w:rsidR="007905E1">
        <w:t>de Wet hergebruik overheidsinformatie) en kan worden bijgedragen aan de effectieve en efficiënte uitvoering van taken.</w:t>
      </w:r>
      <w:r>
        <w:t xml:space="preserve"> </w:t>
      </w:r>
    </w:p>
    <w:p w14:paraId="7AFC41ED" w14:textId="49AC7A15" w:rsidR="009F64D1" w:rsidRPr="00247161" w:rsidRDefault="009F64D1" w:rsidP="00247161">
      <w:r>
        <w:t>Informatie kan beschikbaar gesteld worden</w:t>
      </w:r>
      <w:r w:rsidR="007A0A90">
        <w:t xml:space="preserve"> voor verschillende doelen en, deels daarmee samenhangen, </w:t>
      </w:r>
      <w:r>
        <w:t>in verschillende vormen.</w:t>
      </w:r>
      <w:r w:rsidR="007A0A90">
        <w:t xml:space="preserve"> Zo kan informatie in de vorm van </w:t>
      </w:r>
      <w:proofErr w:type="spellStart"/>
      <w:r w:rsidR="007A0A90">
        <w:t>Linked</w:t>
      </w:r>
      <w:proofErr w:type="spellEnd"/>
      <w:r w:rsidR="007A0A90">
        <w:t xml:space="preserve"> Data beschikbaar worden gesteld, als het doel is om </w:t>
      </w:r>
      <w:r w:rsidR="00E47243">
        <w:t xml:space="preserve">informatie uit </w:t>
      </w:r>
      <w:r w:rsidR="007A0A90">
        <w:t xml:space="preserve">verschillende collecties aan elkaar te kunnen relateren. En informatie die door machines gelezen gaat worden, wordt op een andere manier beschikbaar gesteld dan informatie die door mensen gelezen gaat worden. </w:t>
      </w:r>
      <w:r>
        <w:t xml:space="preserve"> </w:t>
      </w:r>
    </w:p>
    <w:p w14:paraId="105F9624" w14:textId="3C962D0D" w:rsidR="00C83D38" w:rsidRDefault="000C630E" w:rsidP="00C83D38">
      <w:r>
        <w:t xml:space="preserve">De locatie van de </w:t>
      </w:r>
      <w:r w:rsidR="00C83D38">
        <w:t xml:space="preserve">overheidsinformatie </w:t>
      </w:r>
      <w:r>
        <w:t>die ter beschikking gesteld wordt</w:t>
      </w:r>
      <w:r w:rsidR="00C83D38">
        <w:t xml:space="preserve">, hangt af van de inrichting van het DUTO-proces ‘registreren’. Afhankelijk van het gekozen implementatiepatroon ( </w:t>
      </w:r>
      <w:r w:rsidR="00C83D38" w:rsidRPr="00632FC3">
        <w:rPr>
          <w:b/>
          <w:bCs/>
        </w:rPr>
        <w:t>-&gt; link</w:t>
      </w:r>
      <w:r w:rsidR="00C83D38">
        <w:rPr>
          <w:b/>
          <w:bCs/>
        </w:rPr>
        <w:t xml:space="preserve"> </w:t>
      </w:r>
      <w:r w:rsidR="00C83D38" w:rsidRPr="00206415">
        <w:t>naar generiek deel</w:t>
      </w:r>
      <w:r w:rsidR="00C83D38" w:rsidRPr="00632FC3">
        <w:t>)</w:t>
      </w:r>
      <w:r w:rsidR="00C83D38">
        <w:t xml:space="preserve">, kunnen informatieobjecten in één of meerdere voorzieningen staan. Informatie kan zich bijvoorbeeld bevinden in een specifieke voorziening (zoals een </w:t>
      </w:r>
      <w:proofErr w:type="spellStart"/>
      <w:r w:rsidR="00C83D38">
        <w:t>vakapplicatie</w:t>
      </w:r>
      <w:proofErr w:type="spellEnd"/>
      <w:r w:rsidR="00C83D38">
        <w:t>) of in een generieke voorziening zoals een documentmanagementsysteem (DMS). Zoals gezegd kan het nodig zijn om informatie voorafgaand aan</w:t>
      </w:r>
      <w:r w:rsidR="00D33D66">
        <w:t xml:space="preserve"> het</w:t>
      </w:r>
      <w:r w:rsidR="00C83D38">
        <w:t xml:space="preserve"> ter beschikking stellen te migreren naar een andere locatie.</w:t>
      </w:r>
    </w:p>
    <w:p w14:paraId="735024A8" w14:textId="77777777" w:rsidR="00C83D38" w:rsidRDefault="00C83D38" w:rsidP="00D73C78">
      <w:pPr>
        <w:rPr>
          <w:rFonts w:cstheme="minorHAnsi"/>
        </w:rPr>
      </w:pPr>
    </w:p>
    <w:p w14:paraId="36BCCD9B" w14:textId="069410A2" w:rsidR="00D812CA" w:rsidRDefault="000833C1" w:rsidP="007C5C32">
      <w:r>
        <w:rPr>
          <w:noProof/>
        </w:rPr>
        <w:lastRenderedPageBreak/>
        <w:drawing>
          <wp:inline distT="0" distB="0" distL="0" distR="0" wp14:anchorId="45AB533D" wp14:editId="353A6584">
            <wp:extent cx="5760720" cy="4235450"/>
            <wp:effectExtent l="0" t="0" r="11430" b="1270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60720" cy="4235450"/>
                    </a:xfrm>
                    <a:prstGeom prst="rect">
                      <a:avLst/>
                    </a:prstGeom>
                    <a:noFill/>
                    <a:ln>
                      <a:noFill/>
                    </a:ln>
                  </pic:spPr>
                </pic:pic>
              </a:graphicData>
            </a:graphic>
          </wp:inline>
        </w:drawing>
      </w:r>
    </w:p>
    <w:p w14:paraId="7882D6DE" w14:textId="0E4FE66D" w:rsidR="00C83D38" w:rsidRDefault="00C83D38" w:rsidP="00D33D66">
      <w:pPr>
        <w:pStyle w:val="Kop2"/>
      </w:pPr>
      <w:r>
        <w:t>Functies</w:t>
      </w:r>
    </w:p>
    <w:p w14:paraId="2A479B59" w14:textId="62C4D459" w:rsidR="00C83D38" w:rsidRDefault="00C83D38" w:rsidP="00C83D38">
      <w:r>
        <w:t>Ter beschikking stellen wordt gerealiseerd door negen DUTO-functies die hieronder nader worden toegelicht, in de context van dit DUTO-proces. De volgorde die hierbij wordt aangehouden is niet dwingend.</w:t>
      </w:r>
    </w:p>
    <w:p w14:paraId="341356DD" w14:textId="06238F56" w:rsidR="00C83D38" w:rsidRDefault="00C83D38" w:rsidP="00C83D38">
      <w:pPr>
        <w:pStyle w:val="Lijstalinea"/>
        <w:numPr>
          <w:ilvl w:val="0"/>
          <w:numId w:val="28"/>
        </w:numPr>
      </w:pPr>
      <w:r>
        <w:t>Metagegevensbeheer</w:t>
      </w:r>
    </w:p>
    <w:p w14:paraId="1D3E958F" w14:textId="31A1760A" w:rsidR="00F124A1" w:rsidRDefault="00F124A1" w:rsidP="00D33D66">
      <w:pPr>
        <w:spacing w:after="0" w:line="240" w:lineRule="auto"/>
        <w:ind w:left="360"/>
      </w:pPr>
      <w:r w:rsidRPr="00F124A1">
        <w:rPr>
          <w:rFonts w:cstheme="minorHAnsi"/>
        </w:rPr>
        <w:t xml:space="preserve">Metagegevens die </w:t>
      </w:r>
      <w:r w:rsidR="00D475B5">
        <w:rPr>
          <w:rFonts w:cstheme="minorHAnsi"/>
        </w:rPr>
        <w:t>gebruikt kunnen worden voor</w:t>
      </w:r>
      <w:r w:rsidRPr="00F124A1">
        <w:rPr>
          <w:rFonts w:cstheme="minorHAnsi"/>
        </w:rPr>
        <w:t xml:space="preserve"> het </w:t>
      </w:r>
      <w:r>
        <w:rPr>
          <w:rFonts w:cstheme="minorHAnsi"/>
        </w:rPr>
        <w:t>proces van ter beschikking stellen</w:t>
      </w:r>
      <w:r w:rsidRPr="00F124A1">
        <w:rPr>
          <w:rFonts w:cstheme="minorHAnsi"/>
        </w:rPr>
        <w:t xml:space="preserve">, </w:t>
      </w:r>
      <w:r w:rsidR="00D475B5">
        <w:rPr>
          <w:rFonts w:cstheme="minorHAnsi"/>
        </w:rPr>
        <w:t xml:space="preserve">kunnen </w:t>
      </w:r>
      <w:r w:rsidRPr="00F124A1">
        <w:rPr>
          <w:rFonts w:cstheme="minorHAnsi"/>
        </w:rPr>
        <w:t xml:space="preserve"> bijvoorbeeld </w:t>
      </w:r>
      <w:r w:rsidR="00D475B5">
        <w:rPr>
          <w:rFonts w:cstheme="minorHAnsi"/>
        </w:rPr>
        <w:t xml:space="preserve">betrekking hebben op het </w:t>
      </w:r>
      <w:r>
        <w:rPr>
          <w:rFonts w:cstheme="minorHAnsi"/>
        </w:rPr>
        <w:t xml:space="preserve">onderwerp, trefwoorden, </w:t>
      </w:r>
      <w:r w:rsidR="00D475B5">
        <w:rPr>
          <w:rFonts w:cstheme="minorHAnsi"/>
        </w:rPr>
        <w:t>de archiefvormer en mogelijke andere betrokkenen, of mogelijke gebruiksbeperkingen (zoals auteursrecht).</w:t>
      </w:r>
      <w:r w:rsidRPr="00F124A1">
        <w:rPr>
          <w:rFonts w:cstheme="minorHAnsi"/>
        </w:rPr>
        <w:t xml:space="preserve"> Met behulp van deze gegevens k</w:t>
      </w:r>
      <w:r w:rsidR="00D475B5">
        <w:rPr>
          <w:rFonts w:cstheme="minorHAnsi"/>
        </w:rPr>
        <w:t>unnen informatieobjecten gevonden en geïnterpreteerd worden.</w:t>
      </w:r>
    </w:p>
    <w:p w14:paraId="1A3A293D" w14:textId="77777777" w:rsidR="00D33D66" w:rsidRDefault="00D33D66" w:rsidP="00D33D66">
      <w:pPr>
        <w:spacing w:after="0" w:line="240" w:lineRule="auto"/>
        <w:ind w:left="360"/>
      </w:pPr>
    </w:p>
    <w:p w14:paraId="39766AF8" w14:textId="17A8E1CF" w:rsidR="00F124A1" w:rsidRDefault="00C83D38" w:rsidP="00F124A1">
      <w:pPr>
        <w:pStyle w:val="Lijstalinea"/>
        <w:numPr>
          <w:ilvl w:val="0"/>
          <w:numId w:val="28"/>
        </w:numPr>
      </w:pPr>
      <w:r>
        <w:t>Toegangsbeheer</w:t>
      </w:r>
    </w:p>
    <w:p w14:paraId="44EB8629" w14:textId="41833BEA" w:rsidR="00F124A1" w:rsidRDefault="00F124A1" w:rsidP="00D475B5">
      <w:pPr>
        <w:ind w:left="360"/>
      </w:pPr>
      <w:r>
        <w:t xml:space="preserve">Degenen die binnen de organisatie verantwoordelijk zijn voor het ter beschikking stellen van </w:t>
      </w:r>
      <w:proofErr w:type="spellStart"/>
      <w:r>
        <w:t>infomatieobjecten</w:t>
      </w:r>
      <w:proofErr w:type="spellEnd"/>
      <w:r>
        <w:t>, moeten de daarvoor benodigde rechten hebben. En andersom moeten degenen die binnen het proces van ter beschikking stellen geen verantwoordelijkheden hebben, daartoe ook geen rechten hebben. Bevoegdheden moeten op organisatorisch niveau (in een autorisatiematrix) en binnen applicaties (op basis van permissies) goed geregeld zijn.</w:t>
      </w:r>
    </w:p>
    <w:p w14:paraId="2064F4C7" w14:textId="77777777" w:rsidR="00D33D66" w:rsidRDefault="00D33D66" w:rsidP="00D33D66">
      <w:pPr>
        <w:pStyle w:val="Lijstalinea"/>
        <w:numPr>
          <w:ilvl w:val="0"/>
          <w:numId w:val="28"/>
        </w:numPr>
      </w:pPr>
      <w:r>
        <w:t>Zoeken</w:t>
      </w:r>
    </w:p>
    <w:p w14:paraId="629E4B89" w14:textId="25F1299A" w:rsidR="00D33D66" w:rsidRDefault="00D33D66" w:rsidP="00D33D66">
      <w:pPr>
        <w:ind w:left="360"/>
      </w:pPr>
      <w:r>
        <w:t>Gebruikers moeten kunnen zoeken naar in beschikbaar gestelde informatie. Het is daarom nodig om in een zoekfunctie te voorzien waarmee gebruikers op basis van metagegevens en -indien mogelijk – full tekst kunnen zoeken naar de informatie die zij nodig hebben.</w:t>
      </w:r>
    </w:p>
    <w:p w14:paraId="7577EE3F" w14:textId="7890A4CD" w:rsidR="00C83D38" w:rsidRDefault="00C83D38" w:rsidP="00C83D38">
      <w:pPr>
        <w:pStyle w:val="Lijstalinea"/>
        <w:numPr>
          <w:ilvl w:val="0"/>
          <w:numId w:val="28"/>
        </w:numPr>
      </w:pPr>
      <w:r>
        <w:t>Uitwisseling</w:t>
      </w:r>
    </w:p>
    <w:p w14:paraId="600F428F" w14:textId="34BB0E40" w:rsidR="00D475B5" w:rsidRDefault="00A12088" w:rsidP="00D475B5">
      <w:pPr>
        <w:ind w:left="360"/>
      </w:pPr>
      <w:r>
        <w:rPr>
          <w:color w:val="000000" w:themeColor="text1"/>
        </w:rPr>
        <w:t>Informatieobjecten (of metagegevens over informatieobjecten) kunnen worden gedeeld op een publicatieplatform (zoals een website of een portal), of tussen informatiesystemen onderling (binnen of buiten de eigen organisatie). Zodat beoogde gebruikers hierover kunnen beschikken.</w:t>
      </w:r>
    </w:p>
    <w:p w14:paraId="27FB70F3" w14:textId="44C7974D" w:rsidR="00C83D38" w:rsidRDefault="00C83D38" w:rsidP="00C83D38">
      <w:pPr>
        <w:pStyle w:val="Lijstalinea"/>
        <w:numPr>
          <w:ilvl w:val="0"/>
          <w:numId w:val="28"/>
        </w:numPr>
      </w:pPr>
      <w:r>
        <w:lastRenderedPageBreak/>
        <w:t>Conversie</w:t>
      </w:r>
    </w:p>
    <w:p w14:paraId="38043539" w14:textId="25C0D8E7" w:rsidR="0058280F" w:rsidRDefault="0058280F" w:rsidP="000F5ED3">
      <w:pPr>
        <w:ind w:left="360"/>
      </w:pPr>
      <w:r>
        <w:t>Het kan nodig zijn om informatie te converteren</w:t>
      </w:r>
      <w:r w:rsidR="00AE3163">
        <w:t xml:space="preserve"> naar een formaat dat beter aansluit bij het beoogde gebruik. Zo kunnen afbeeldingen beschikbaar gesteld worden in een minder zwaar formaat </w:t>
      </w:r>
      <w:r w:rsidR="004C1FEE">
        <w:t>dan wat</w:t>
      </w:r>
      <w:r w:rsidR="00D33D66">
        <w:t xml:space="preserve"> </w:t>
      </w:r>
      <w:r w:rsidR="00AE3163">
        <w:t>wordt gebruikt voor preservering, om deze afbeeldingen sneller te kunnen weergeven of downloaden.</w:t>
      </w:r>
    </w:p>
    <w:p w14:paraId="11D3EB7B" w14:textId="46BDB82D" w:rsidR="00C83D38" w:rsidRDefault="00C83D38" w:rsidP="00C83D38">
      <w:pPr>
        <w:pStyle w:val="Lijstalinea"/>
        <w:numPr>
          <w:ilvl w:val="0"/>
          <w:numId w:val="28"/>
        </w:numPr>
      </w:pPr>
      <w:r>
        <w:t>Validatie</w:t>
      </w:r>
    </w:p>
    <w:p w14:paraId="774F6BFD" w14:textId="73BC8746" w:rsidR="00D475B5" w:rsidRDefault="00D475B5" w:rsidP="0039751A">
      <w:pPr>
        <w:spacing w:after="0" w:line="240" w:lineRule="auto"/>
        <w:ind w:left="360"/>
      </w:pPr>
      <w:r>
        <w:t xml:space="preserve">Het is nodig om de informatieobjecten die ter beschikking gesteld gaan worden, goed te controleren. Om zo te kunnen bepalen </w:t>
      </w:r>
      <w:r w:rsidR="00E20F1C">
        <w:t>of de informatie volledig en juist is</w:t>
      </w:r>
      <w:r w:rsidR="0039751A">
        <w:t>.</w:t>
      </w:r>
    </w:p>
    <w:p w14:paraId="229E8556" w14:textId="77777777" w:rsidR="00D33D66" w:rsidRDefault="00D33D66" w:rsidP="0039751A">
      <w:pPr>
        <w:spacing w:after="0" w:line="240" w:lineRule="auto"/>
        <w:ind w:left="360"/>
      </w:pPr>
    </w:p>
    <w:p w14:paraId="0E842283" w14:textId="77777777" w:rsidR="00D33D66" w:rsidRDefault="00D33D66" w:rsidP="00D33D66">
      <w:pPr>
        <w:pStyle w:val="Lijstalinea"/>
        <w:numPr>
          <w:ilvl w:val="0"/>
          <w:numId w:val="28"/>
        </w:numPr>
      </w:pPr>
      <w:r>
        <w:t>Maskering</w:t>
      </w:r>
    </w:p>
    <w:p w14:paraId="7E2CB368" w14:textId="77777777" w:rsidR="00D33D66" w:rsidRPr="00AE3163" w:rsidRDefault="00D33D66" w:rsidP="00D33D66">
      <w:pPr>
        <w:ind w:left="360"/>
        <w:rPr>
          <w:b/>
          <w:bCs/>
        </w:rPr>
      </w:pPr>
      <w:r>
        <w:rPr>
          <w:color w:val="000000" w:themeColor="text1"/>
        </w:rPr>
        <w:t xml:space="preserve">Het kan nodig zijn om (delen van) informatieobjecten niet beschikbaar te stellen, bijvoorbeeld op grond van een beperking die wordt gesteld vanuit de </w:t>
      </w:r>
      <w:proofErr w:type="spellStart"/>
      <w:r>
        <w:rPr>
          <w:color w:val="000000" w:themeColor="text1"/>
        </w:rPr>
        <w:t>Woo</w:t>
      </w:r>
      <w:proofErr w:type="spellEnd"/>
      <w:r>
        <w:rPr>
          <w:color w:val="000000" w:themeColor="text1"/>
        </w:rPr>
        <w:t xml:space="preserve">. Deze informatie wordt dan onzichtbaar gemaakt (gelakt), maar zorgt er wel voor dat de overige informatie wel beschikbaar kan worden gesteld. Waar (delen van) informatieobjecten gemaskeerd worden, is het nodig om hierover transparant te zijn en duidelijk te maken aan de ontvanger wat er wel en wat er niet ter beschikking gesteld wordt, en waarom. </w:t>
      </w:r>
    </w:p>
    <w:p w14:paraId="7DCC7884" w14:textId="77777777" w:rsidR="00D33D66" w:rsidRDefault="00D33D66" w:rsidP="00D33D66">
      <w:pPr>
        <w:pStyle w:val="Lijstalinea"/>
        <w:numPr>
          <w:ilvl w:val="0"/>
          <w:numId w:val="28"/>
        </w:numPr>
      </w:pPr>
      <w:r>
        <w:t>Publicatie</w:t>
      </w:r>
    </w:p>
    <w:p w14:paraId="3D8AA3C6" w14:textId="7924B1A9" w:rsidR="0039751A" w:rsidRDefault="00D33D66" w:rsidP="00D33D66">
      <w:pPr>
        <w:ind w:left="360"/>
      </w:pPr>
      <w:r>
        <w:rPr>
          <w:color w:val="000000" w:themeColor="text1"/>
        </w:rPr>
        <w:t xml:space="preserve">Informatieobjecten die beschikbaar worden gesteld, dienen openbaar gemaakt te worden. Dat wil zeggen dat de objecten op een locatie worden neergezet die kan worden benaderd door de gebruikers die daartoe de rechten hebben, inclusief </w:t>
      </w:r>
      <w:proofErr w:type="spellStart"/>
      <w:r>
        <w:rPr>
          <w:color w:val="000000" w:themeColor="text1"/>
        </w:rPr>
        <w:t>crawlers</w:t>
      </w:r>
      <w:proofErr w:type="spellEnd"/>
      <w:r>
        <w:rPr>
          <w:color w:val="000000" w:themeColor="text1"/>
        </w:rPr>
        <w:t xml:space="preserve"> van zoekmachines die de informatieobjecten opnemen in zoekindexen. Informatieobjecten zijn daarbij volledig en juist en voorzien van de nodige metagegevens.</w:t>
      </w:r>
    </w:p>
    <w:p w14:paraId="7C462EFD" w14:textId="14AA8AFD" w:rsidR="00C83D38" w:rsidRDefault="00C83D38" w:rsidP="00C83D38">
      <w:pPr>
        <w:pStyle w:val="Lijstalinea"/>
        <w:numPr>
          <w:ilvl w:val="0"/>
          <w:numId w:val="28"/>
        </w:numPr>
      </w:pPr>
      <w:r>
        <w:t>Representatie</w:t>
      </w:r>
    </w:p>
    <w:p w14:paraId="6DA2C1C8" w14:textId="6C155100" w:rsidR="00AE3163" w:rsidRDefault="00AE3163" w:rsidP="00AE3163">
      <w:pPr>
        <w:ind w:left="360"/>
      </w:pPr>
      <w:r>
        <w:rPr>
          <w:color w:val="000000" w:themeColor="text1"/>
        </w:rPr>
        <w:t>Beschikbaar gestelde informatieobjecten moeten kunnen worden weergegeven, bijvoorbeeld door middel van een viewer. Als een viewer niet voorziet in een weergavefunctie voor bepaalde bestandsformaten, dan kan het alternatief zijn om een download beschikbaar te stellen met daarbij een aanbeveling voor te gebruiken software waarmee het betreffende bestand kan worden weergegeven</w:t>
      </w:r>
      <w:r w:rsidRPr="004C67A0">
        <w:rPr>
          <w:color w:val="000000" w:themeColor="text1"/>
        </w:rPr>
        <w:t>.</w:t>
      </w:r>
    </w:p>
    <w:p w14:paraId="4F664552" w14:textId="212208F6" w:rsidR="00C83D38" w:rsidRDefault="00A12088" w:rsidP="00A12088">
      <w:pPr>
        <w:pStyle w:val="Kop1"/>
      </w:pPr>
      <w:r>
        <w:t>Overwegingen bij implementatie</w:t>
      </w:r>
    </w:p>
    <w:p w14:paraId="736AB302" w14:textId="3F2C4E59" w:rsidR="00CF6D83" w:rsidRPr="00FD6B61" w:rsidRDefault="00CF6D83" w:rsidP="00CF6D83">
      <w:r w:rsidRPr="00FD6B61">
        <w:t xml:space="preserve">Bij het toepassen van randvoorwaarden en modeleisen voor het DUTO-proces </w:t>
      </w:r>
      <w:r>
        <w:t xml:space="preserve">Ter beschikking stellen </w:t>
      </w:r>
      <w:r w:rsidRPr="00FD6B61">
        <w:t xml:space="preserve"> kiezen organisaties een passend </w:t>
      </w:r>
      <w:r w:rsidRPr="00FD6B61">
        <w:rPr>
          <w:b/>
          <w:bCs/>
        </w:rPr>
        <w:t>&lt;link naar generieke module&gt; niveau van maatregelen&lt;</w:t>
      </w:r>
      <w:r>
        <w:rPr>
          <w:b/>
          <w:bCs/>
        </w:rPr>
        <w:t>/</w:t>
      </w:r>
      <w:r w:rsidRPr="00FD6B61">
        <w:rPr>
          <w:b/>
          <w:bCs/>
        </w:rPr>
        <w:t>link&gt;</w:t>
      </w:r>
      <w:r w:rsidRPr="00FD6B61">
        <w:t>. Deze keuze is gebaseerd op een organisatie-specifieke risicoa</w:t>
      </w:r>
      <w:r>
        <w:t>nalyse</w:t>
      </w:r>
      <w:r w:rsidRPr="00FD6B61">
        <w:t xml:space="preserve"> en verschilt per </w:t>
      </w:r>
      <w:r>
        <w:t>toepassing</w:t>
      </w:r>
      <w:r w:rsidRPr="00FD6B61">
        <w:t xml:space="preserve">. </w:t>
      </w:r>
      <w:r>
        <w:t>Verder kan het gekozen &lt;link&gt;implementatiepatroon&lt;/link&gt; een rol spelen bij het vormgeven van dit DUTO-proces.</w:t>
      </w:r>
    </w:p>
    <w:p w14:paraId="5F62598C" w14:textId="77777777" w:rsidR="00CF6D83" w:rsidRDefault="00CF6D83" w:rsidP="00CF6D83">
      <w:pPr>
        <w:pStyle w:val="Kop2"/>
      </w:pPr>
      <w:r>
        <w:t>Niveau van maatregelen</w:t>
      </w:r>
    </w:p>
    <w:p w14:paraId="670F48D1" w14:textId="5C3843E5" w:rsidR="00CF6D83" w:rsidRDefault="00CF6D83" w:rsidP="000F5ED3">
      <w:r w:rsidRPr="00FD6B61">
        <w:t>Bij het inrichten van het proces</w:t>
      </w:r>
      <w:r>
        <w:t xml:space="preserve"> voor ter beschikking stellen van informatie</w:t>
      </w:r>
      <w:r w:rsidRPr="00FD6B61">
        <w:t xml:space="preserve"> is het </w:t>
      </w:r>
      <w:r w:rsidR="00122FE9">
        <w:t xml:space="preserve">al dan niet </w:t>
      </w:r>
      <w:r w:rsidRPr="00FD6B61">
        <w:t xml:space="preserve">bestaan van </w:t>
      </w:r>
      <w:r w:rsidR="00122FE9">
        <w:t>beperkingen aan het gebruik</w:t>
      </w:r>
      <w:r w:rsidRPr="00FD6B61">
        <w:t xml:space="preserve"> </w:t>
      </w:r>
      <w:r>
        <w:t xml:space="preserve">bijvoorbeeld </w:t>
      </w:r>
      <w:r w:rsidRPr="00FD6B61">
        <w:t xml:space="preserve">één van de overwegingen die het niveau van maatregelen mee helpen bepalen. Een zwaarder niveau van maatregelen is passend wanneer </w:t>
      </w:r>
      <w:r w:rsidR="00461A36">
        <w:t>informatieobjecten onder bepaalde voorwaarden beschikbaar worden gesteld (bijvoorbeeld wanneer er sprake is van afscherming van bepaalde gegevens</w:t>
      </w:r>
      <w:r w:rsidR="00122FE9">
        <w:t>,</w:t>
      </w:r>
      <w:r w:rsidR="00461A36">
        <w:t xml:space="preserve"> of </w:t>
      </w:r>
      <w:r w:rsidR="00122FE9">
        <w:t xml:space="preserve">wanneer </w:t>
      </w:r>
      <w:r w:rsidR="00461A36">
        <w:t xml:space="preserve">bepaalde </w:t>
      </w:r>
      <w:r w:rsidR="00122FE9">
        <w:t>voorwaarden voor</w:t>
      </w:r>
      <w:r w:rsidR="00461A36">
        <w:t xml:space="preserve"> het gebruik van de informatieobjecten</w:t>
      </w:r>
      <w:r w:rsidR="00122FE9">
        <w:t xml:space="preserve"> van toepassing zijn</w:t>
      </w:r>
      <w:r w:rsidR="00461A36">
        <w:t xml:space="preserve">, </w:t>
      </w:r>
      <w:r w:rsidR="00122FE9">
        <w:t>bijvoorbeeld vanuit het</w:t>
      </w:r>
      <w:r w:rsidR="00461A36">
        <w:t xml:space="preserve"> auteursrecht) </w:t>
      </w:r>
    </w:p>
    <w:p w14:paraId="50696140" w14:textId="7C9B6F72" w:rsidR="00CF6D83" w:rsidRPr="006D11F6" w:rsidRDefault="000B1965" w:rsidP="00CF6D83">
      <w:r>
        <w:t>Dit</w:t>
      </w:r>
      <w:r w:rsidR="00CF6D83">
        <w:t xml:space="preserve"> rechtvaardigt </w:t>
      </w:r>
      <w:r w:rsidR="00CF6D83" w:rsidRPr="00E97BA5">
        <w:t xml:space="preserve">dan </w:t>
      </w:r>
      <w:r w:rsidR="00CF6D83">
        <w:t>bijvoorbeeld een ‘zware’</w:t>
      </w:r>
      <w:r w:rsidR="00CF6D83" w:rsidRPr="00E97BA5">
        <w:t xml:space="preserve"> inrichting van</w:t>
      </w:r>
      <w:r w:rsidR="00CF6D83">
        <w:t xml:space="preserve"> </w:t>
      </w:r>
      <w:r w:rsidR="00CF6D83" w:rsidRPr="00E97BA5">
        <w:t>functie</w:t>
      </w:r>
      <w:r w:rsidR="00CF6D83">
        <w:t>s als ‘</w:t>
      </w:r>
      <w:r w:rsidR="00461A36">
        <w:t>maskering</w:t>
      </w:r>
      <w:r w:rsidR="00CF6D83">
        <w:t xml:space="preserve">’ en </w:t>
      </w:r>
      <w:r w:rsidR="00CF6D83" w:rsidRPr="00E97BA5">
        <w:t>‘validatie’</w:t>
      </w:r>
      <w:r w:rsidR="00CF6D83">
        <w:t xml:space="preserve">. </w:t>
      </w:r>
    </w:p>
    <w:p w14:paraId="75C4C098" w14:textId="61589697" w:rsidR="00CF6D83" w:rsidRDefault="00CF6D83" w:rsidP="00CF6D83">
      <w:r>
        <w:lastRenderedPageBreak/>
        <w:t>Een lichter niveau kan passend zijn bij informatie</w:t>
      </w:r>
      <w:r w:rsidR="000B1965">
        <w:t>objecten</w:t>
      </w:r>
      <w:r w:rsidRPr="00FD6B61">
        <w:t xml:space="preserve"> </w:t>
      </w:r>
      <w:r w:rsidR="000B1965">
        <w:t xml:space="preserve">waarbij de afweging is om die niet te valideren of te converteren omdat de inhoud en/of vorm waarin deze beschikbaar worden gesteld dit naar oordeel van een organisatie dit niet vereisen.   </w:t>
      </w:r>
    </w:p>
    <w:p w14:paraId="04ABC0AA" w14:textId="77777777" w:rsidR="00DE161D" w:rsidRDefault="00DE161D" w:rsidP="00DE161D">
      <w:pPr>
        <w:pStyle w:val="Kop2"/>
      </w:pPr>
      <w:r>
        <w:t xml:space="preserve">Implementatiepatronen </w:t>
      </w:r>
    </w:p>
    <w:p w14:paraId="4C0ADFD2" w14:textId="3DE38E3B" w:rsidR="00DE161D" w:rsidRDefault="00DE161D" w:rsidP="00DE161D">
      <w:r>
        <w:t xml:space="preserve">Bij het inrichten van het </w:t>
      </w:r>
      <w:r w:rsidR="00B7342C">
        <w:t xml:space="preserve">proces voor het beschikbaar stellen van overheidsinformatie </w:t>
      </w:r>
      <w:r>
        <w:t xml:space="preserve"> en het bepalen van passende maatregelen voor dat doel, is het van belang om het hele applicatielandschap te bekijken. Niet alle functies die bij het proces horen, hoeven binnen dezelfde applicatie geïmplementeerd te zijn. Het is mogelijk dat er generieke of gemeenschappelijke voorzieningen zijn, die bepaalde functies over applicaties heen kunnen uitvoeren. </w:t>
      </w:r>
      <w:r w:rsidR="00B7342C">
        <w:t xml:space="preserve">Denk hierbij aan een zoekmachine die over meerdere publicatieplatforms heen informatie kan zoeken en indexeren (zoals voorzien in de </w:t>
      </w:r>
      <w:proofErr w:type="spellStart"/>
      <w:r w:rsidR="00B7342C">
        <w:t>Woo</w:t>
      </w:r>
      <w:proofErr w:type="spellEnd"/>
      <w:r w:rsidR="00B7342C">
        <w:t xml:space="preserve">-index en zoekfunctie als onderdeel van PLOOI). </w:t>
      </w:r>
      <w:r>
        <w:t xml:space="preserve">Het is dan nodig om na te gaan dat die functies goed zijn geïmplementeerd. </w:t>
      </w:r>
    </w:p>
    <w:p w14:paraId="6BDD6ACA" w14:textId="2B779724" w:rsidR="006B68D9" w:rsidRDefault="006B68D9" w:rsidP="006B047F">
      <w:pPr>
        <w:pStyle w:val="Kop1"/>
      </w:pPr>
      <w:r w:rsidRPr="004E1A95">
        <w:t>Randvoorwaarden</w:t>
      </w:r>
    </w:p>
    <w:p w14:paraId="6787F5AA" w14:textId="12D0D00F" w:rsidR="0059201A" w:rsidRPr="0059201A" w:rsidRDefault="0059201A" w:rsidP="0059201A">
      <w:r>
        <w:t>De generieke randvoorwaarden (</w:t>
      </w:r>
      <w:r w:rsidRPr="003763E6">
        <w:rPr>
          <w:b/>
          <w:bCs/>
        </w:rPr>
        <w:t>&gt;&gt; link</w:t>
      </w:r>
      <w:r>
        <w:t>) zijn van toepassing op het proces. Daarnaast zijn er de volgende aanvullende of specifieke randvoorwaarden:</w:t>
      </w:r>
    </w:p>
    <w:p w14:paraId="7F558D06" w14:textId="2071D2F1" w:rsidR="00FA0E9C" w:rsidRDefault="00090C2A" w:rsidP="00090C2A">
      <w:pPr>
        <w:pStyle w:val="Lijstalinea"/>
        <w:numPr>
          <w:ilvl w:val="0"/>
          <w:numId w:val="27"/>
        </w:numPr>
      </w:pPr>
      <w:r>
        <w:t>Er is een</w:t>
      </w:r>
      <w:r w:rsidR="009B58D9">
        <w:t xml:space="preserve"> intern en/of extern</w:t>
      </w:r>
      <w:r>
        <w:t xml:space="preserve"> platform waarop informatie ter beschikking wordt gesteld</w:t>
      </w:r>
      <w:r w:rsidR="00B848EF">
        <w:t>.</w:t>
      </w:r>
    </w:p>
    <w:p w14:paraId="20B1005F" w14:textId="27F569AF" w:rsidR="00B848EF" w:rsidRDefault="00B848EF" w:rsidP="00090C2A">
      <w:pPr>
        <w:pStyle w:val="Lijstalinea"/>
        <w:numPr>
          <w:ilvl w:val="0"/>
          <w:numId w:val="27"/>
        </w:numPr>
      </w:pPr>
      <w:r>
        <w:t>Er is beleid ten aanzien van de kwaliteit van informatie (en onderliggende gegevens) die beschikbaar worden gesteld.</w:t>
      </w:r>
    </w:p>
    <w:p w14:paraId="484363CC" w14:textId="035347FC" w:rsidR="00D70C27" w:rsidRPr="00D837B8" w:rsidRDefault="00D70C27" w:rsidP="00090C2A">
      <w:pPr>
        <w:pStyle w:val="Lijstalinea"/>
        <w:numPr>
          <w:ilvl w:val="0"/>
          <w:numId w:val="27"/>
        </w:numPr>
      </w:pPr>
      <w:r>
        <w:t xml:space="preserve">Er is beleid ten aanzien van </w:t>
      </w:r>
      <w:r w:rsidR="00B848EF">
        <w:t xml:space="preserve">het gebruik van </w:t>
      </w:r>
      <w:r>
        <w:t xml:space="preserve">Persistent </w:t>
      </w:r>
      <w:proofErr w:type="spellStart"/>
      <w:r>
        <w:t>Identifiers</w:t>
      </w:r>
      <w:proofErr w:type="spellEnd"/>
      <w:r>
        <w:t xml:space="preserve"> </w:t>
      </w:r>
      <w:r w:rsidR="00B848EF">
        <w:t>(</w:t>
      </w:r>
      <w:proofErr w:type="spellStart"/>
      <w:r w:rsidR="00B848EF">
        <w:t>PIDs</w:t>
      </w:r>
      <w:proofErr w:type="spellEnd"/>
      <w:r w:rsidR="00B848EF">
        <w:t xml:space="preserve">) </w:t>
      </w:r>
      <w:r>
        <w:t>waarin gedefinieerd staat hoe deze worden gevormd, worden beheerd en hoe de functionaliteit kan worden gewaarborgd.</w:t>
      </w:r>
    </w:p>
    <w:p w14:paraId="3CD182CD" w14:textId="4FC3F094" w:rsidR="004C70B2" w:rsidRDefault="004C70B2" w:rsidP="006B047F">
      <w:pPr>
        <w:pStyle w:val="Kop1"/>
      </w:pPr>
      <w:r>
        <w:t xml:space="preserve">Modeleisen </w:t>
      </w:r>
    </w:p>
    <w:p w14:paraId="1F315996" w14:textId="62BAA8DD" w:rsidR="002A10E3" w:rsidRPr="003B7C14" w:rsidRDefault="00395F1B" w:rsidP="00395F1B">
      <w:r>
        <w:t>In de kolom “</w:t>
      </w:r>
      <w:proofErr w:type="spellStart"/>
      <w:r>
        <w:t>MoSCoW</w:t>
      </w:r>
      <w:proofErr w:type="spellEnd"/>
      <w:r>
        <w:t xml:space="preserve">” is een weging op basis van de </w:t>
      </w:r>
      <w:proofErr w:type="spellStart"/>
      <w:r>
        <w:t>MoSCoW</w:t>
      </w:r>
      <w:proofErr w:type="spellEnd"/>
      <w:r>
        <w:t xml:space="preserve">-methodiek (Must have, </w:t>
      </w:r>
      <w:proofErr w:type="spellStart"/>
      <w:r>
        <w:t>Should</w:t>
      </w:r>
      <w:proofErr w:type="spellEnd"/>
      <w:r>
        <w:t xml:space="preserve"> have, </w:t>
      </w:r>
      <w:proofErr w:type="spellStart"/>
      <w:r>
        <w:t>Could</w:t>
      </w:r>
      <w:proofErr w:type="spellEnd"/>
      <w:r>
        <w:t xml:space="preserve"> have, </w:t>
      </w:r>
      <w:proofErr w:type="spellStart"/>
      <w:r>
        <w:t>Won’t</w:t>
      </w:r>
      <w:proofErr w:type="spellEnd"/>
      <w:r>
        <w:t xml:space="preserve"> have) toegekend. Deze weging is bedoeld ter referentie.</w:t>
      </w:r>
    </w:p>
    <w:tbl>
      <w:tblPr>
        <w:tblStyle w:val="Tabelraster"/>
        <w:tblW w:w="8845" w:type="dxa"/>
        <w:jc w:val="center"/>
        <w:tblLayout w:type="fixed"/>
        <w:tblLook w:val="04A0" w:firstRow="1" w:lastRow="0" w:firstColumn="1" w:lastColumn="0" w:noHBand="0" w:noVBand="1"/>
      </w:tblPr>
      <w:tblGrid>
        <w:gridCol w:w="567"/>
        <w:gridCol w:w="3175"/>
        <w:gridCol w:w="1701"/>
        <w:gridCol w:w="1134"/>
        <w:gridCol w:w="2268"/>
      </w:tblGrid>
      <w:tr w:rsidR="000F5ED3" w14:paraId="6BFBEC26" w14:textId="7210D275" w:rsidTr="00406306">
        <w:trPr>
          <w:cantSplit/>
          <w:trHeight w:val="79"/>
          <w:tblHeader/>
          <w:jc w:val="center"/>
        </w:trPr>
        <w:tc>
          <w:tcPr>
            <w:tcW w:w="567" w:type="dxa"/>
          </w:tcPr>
          <w:p w14:paraId="23D9F77E" w14:textId="77777777" w:rsidR="000F5ED3" w:rsidRDefault="000F5ED3" w:rsidP="00922BC7">
            <w:r>
              <w:t>#</w:t>
            </w:r>
          </w:p>
        </w:tc>
        <w:tc>
          <w:tcPr>
            <w:tcW w:w="3175" w:type="dxa"/>
          </w:tcPr>
          <w:p w14:paraId="7BF85DBC" w14:textId="77777777" w:rsidR="000F5ED3" w:rsidRDefault="000F5ED3" w:rsidP="00922BC7">
            <w:r>
              <w:t>Eis</w:t>
            </w:r>
          </w:p>
        </w:tc>
        <w:tc>
          <w:tcPr>
            <w:tcW w:w="1701" w:type="dxa"/>
          </w:tcPr>
          <w:p w14:paraId="61C3B36D" w14:textId="43C8959C" w:rsidR="000F5ED3" w:rsidRDefault="000F5ED3" w:rsidP="00922BC7">
            <w:r>
              <w:t>Functie</w:t>
            </w:r>
          </w:p>
        </w:tc>
        <w:tc>
          <w:tcPr>
            <w:tcW w:w="1134" w:type="dxa"/>
          </w:tcPr>
          <w:p w14:paraId="284D4398" w14:textId="0DAA852C" w:rsidR="000F5ED3" w:rsidRDefault="000F5ED3" w:rsidP="00922BC7">
            <w:proofErr w:type="spellStart"/>
            <w:r>
              <w:t>MoSCoW</w:t>
            </w:r>
            <w:proofErr w:type="spellEnd"/>
          </w:p>
        </w:tc>
        <w:tc>
          <w:tcPr>
            <w:tcW w:w="2268" w:type="dxa"/>
          </w:tcPr>
          <w:p w14:paraId="0A66D123" w14:textId="3B7F1E01" w:rsidR="000F5ED3" w:rsidRDefault="000F5ED3" w:rsidP="00922BC7">
            <w:r>
              <w:t xml:space="preserve">Bronvermelding </w:t>
            </w:r>
          </w:p>
        </w:tc>
      </w:tr>
      <w:tr w:rsidR="000F5ED3" w14:paraId="3CB7813B" w14:textId="77777777" w:rsidTr="00406306">
        <w:trPr>
          <w:cantSplit/>
          <w:jc w:val="center"/>
        </w:trPr>
        <w:tc>
          <w:tcPr>
            <w:tcW w:w="567" w:type="dxa"/>
          </w:tcPr>
          <w:p w14:paraId="0B5BD809" w14:textId="5FDEA9F3" w:rsidR="000F5ED3" w:rsidRDefault="007312E9" w:rsidP="00C80DA6">
            <w:r>
              <w:t>T01</w:t>
            </w:r>
          </w:p>
        </w:tc>
        <w:tc>
          <w:tcPr>
            <w:tcW w:w="3175" w:type="dxa"/>
          </w:tcPr>
          <w:p w14:paraId="5D7B76CF" w14:textId="73EF22CD" w:rsidR="000F5ED3" w:rsidRDefault="000F5ED3" w:rsidP="007E1EB3">
            <w:r>
              <w:t>De oplossing</w:t>
            </w:r>
            <w:r w:rsidRPr="007E1EB3">
              <w:t xml:space="preserve"> kan, gebruikers van hulpmiddelen voorzien voor het zoeken en opvragen van informatieobjecten en</w:t>
            </w:r>
            <w:r>
              <w:t>/of</w:t>
            </w:r>
            <w:r w:rsidRPr="007E1EB3">
              <w:t xml:space="preserve"> metagegevens.</w:t>
            </w:r>
          </w:p>
        </w:tc>
        <w:tc>
          <w:tcPr>
            <w:tcW w:w="1701" w:type="dxa"/>
          </w:tcPr>
          <w:p w14:paraId="42F7FDCE" w14:textId="672A40BF" w:rsidR="000F5ED3" w:rsidRDefault="000F5ED3" w:rsidP="00C80DA6">
            <w:r>
              <w:t>Zoeken</w:t>
            </w:r>
          </w:p>
          <w:p w14:paraId="14454B0D" w14:textId="4AF20D60" w:rsidR="000F5ED3" w:rsidRPr="00E0744C" w:rsidRDefault="000F5ED3" w:rsidP="00C80DA6"/>
        </w:tc>
        <w:tc>
          <w:tcPr>
            <w:tcW w:w="1134" w:type="dxa"/>
          </w:tcPr>
          <w:p w14:paraId="1328DA2E" w14:textId="7958E67F" w:rsidR="000F5ED3" w:rsidRDefault="000F5ED3" w:rsidP="00C80DA6">
            <w:r>
              <w:t>M</w:t>
            </w:r>
          </w:p>
        </w:tc>
        <w:tc>
          <w:tcPr>
            <w:tcW w:w="2268" w:type="dxa"/>
          </w:tcPr>
          <w:p w14:paraId="180F71B4" w14:textId="77777777" w:rsidR="000F5ED3" w:rsidRDefault="000F5ED3" w:rsidP="00C80DA6">
            <w:r>
              <w:t>NEN-ISO 16175-1:2020</w:t>
            </w:r>
          </w:p>
          <w:p w14:paraId="33180D00" w14:textId="7DE2EC0E" w:rsidR="000F5ED3" w:rsidRDefault="000F5ED3" w:rsidP="00C80DA6">
            <w:r>
              <w:t>R4.1.1</w:t>
            </w:r>
          </w:p>
        </w:tc>
      </w:tr>
      <w:tr w:rsidR="000F5ED3" w14:paraId="7A75EC8A" w14:textId="77777777" w:rsidTr="00406306">
        <w:trPr>
          <w:cantSplit/>
          <w:jc w:val="center"/>
        </w:trPr>
        <w:tc>
          <w:tcPr>
            <w:tcW w:w="567" w:type="dxa"/>
          </w:tcPr>
          <w:p w14:paraId="46CB8222" w14:textId="73E8E6B1" w:rsidR="000F5ED3" w:rsidRDefault="007312E9" w:rsidP="00C80DA6">
            <w:r>
              <w:t>T02</w:t>
            </w:r>
          </w:p>
        </w:tc>
        <w:tc>
          <w:tcPr>
            <w:tcW w:w="3175" w:type="dxa"/>
          </w:tcPr>
          <w:p w14:paraId="084C333D" w14:textId="062743C0" w:rsidR="000F5ED3" w:rsidRPr="00E0744C" w:rsidRDefault="000F5ED3" w:rsidP="00C80DA6">
            <w:r w:rsidRPr="007E1EB3">
              <w:t xml:space="preserve">Het is mogelijk om informatieobjecten op te halen en in een </w:t>
            </w:r>
            <w:r>
              <w:t>leesbaar</w:t>
            </w:r>
            <w:r w:rsidRPr="007E1EB3">
              <w:t xml:space="preserve"> formaat weer te geven.</w:t>
            </w:r>
            <w:r>
              <w:t xml:space="preserve"> </w:t>
            </w:r>
          </w:p>
        </w:tc>
        <w:tc>
          <w:tcPr>
            <w:tcW w:w="1701" w:type="dxa"/>
          </w:tcPr>
          <w:p w14:paraId="256F9494" w14:textId="56A7D120" w:rsidR="000F5ED3" w:rsidRDefault="000F5ED3" w:rsidP="00C80DA6">
            <w:r>
              <w:t>Representatie</w:t>
            </w:r>
          </w:p>
        </w:tc>
        <w:tc>
          <w:tcPr>
            <w:tcW w:w="1134" w:type="dxa"/>
          </w:tcPr>
          <w:p w14:paraId="01AD4E13" w14:textId="628F8D0C" w:rsidR="000F5ED3" w:rsidRPr="00E0744C" w:rsidRDefault="000F5ED3" w:rsidP="00C80DA6">
            <w:r>
              <w:t>M</w:t>
            </w:r>
          </w:p>
        </w:tc>
        <w:tc>
          <w:tcPr>
            <w:tcW w:w="2268" w:type="dxa"/>
          </w:tcPr>
          <w:p w14:paraId="4D6AA984" w14:textId="0D660D89" w:rsidR="000F5ED3" w:rsidRDefault="000F5ED3" w:rsidP="00C80DA6">
            <w:r>
              <w:t>NEN-ISO 16175-1:2020</w:t>
            </w:r>
          </w:p>
          <w:p w14:paraId="31FE0E43" w14:textId="586770AA" w:rsidR="000F5ED3" w:rsidRPr="00E0744C" w:rsidRDefault="000F5ED3" w:rsidP="00C80DA6">
            <w:r>
              <w:t>R4.1.2</w:t>
            </w:r>
          </w:p>
        </w:tc>
      </w:tr>
      <w:tr w:rsidR="000F5ED3" w14:paraId="757FBBD2" w14:textId="77777777" w:rsidTr="00406306">
        <w:trPr>
          <w:cantSplit/>
          <w:jc w:val="center"/>
        </w:trPr>
        <w:tc>
          <w:tcPr>
            <w:tcW w:w="567" w:type="dxa"/>
          </w:tcPr>
          <w:p w14:paraId="04041824" w14:textId="2C58B116" w:rsidR="000F5ED3" w:rsidRDefault="007312E9" w:rsidP="00C80DA6">
            <w:r>
              <w:t>T03</w:t>
            </w:r>
          </w:p>
        </w:tc>
        <w:tc>
          <w:tcPr>
            <w:tcW w:w="3175" w:type="dxa"/>
          </w:tcPr>
          <w:p w14:paraId="2C1ED8B9" w14:textId="1EA48A0A" w:rsidR="000F5ED3" w:rsidRPr="007E1EB3" w:rsidRDefault="000F5ED3" w:rsidP="00C80DA6">
            <w:r>
              <w:t xml:space="preserve">De oplossing kan informatieobjecten weergeven met door middel van </w:t>
            </w:r>
            <w:proofErr w:type="spellStart"/>
            <w:r>
              <w:t>rendering</w:t>
            </w:r>
            <w:proofErr w:type="spellEnd"/>
            <w:r>
              <w:t xml:space="preserve"> en </w:t>
            </w:r>
            <w:proofErr w:type="spellStart"/>
            <w:r>
              <w:t>viewing</w:t>
            </w:r>
            <w:proofErr w:type="spellEnd"/>
          </w:p>
        </w:tc>
        <w:tc>
          <w:tcPr>
            <w:tcW w:w="1701" w:type="dxa"/>
          </w:tcPr>
          <w:p w14:paraId="0DEC3874" w14:textId="0BDFD300" w:rsidR="000F5ED3" w:rsidRDefault="000F5ED3" w:rsidP="00C80DA6">
            <w:r>
              <w:t>Representatie</w:t>
            </w:r>
          </w:p>
        </w:tc>
        <w:tc>
          <w:tcPr>
            <w:tcW w:w="1134" w:type="dxa"/>
          </w:tcPr>
          <w:p w14:paraId="3A3E647A" w14:textId="122C36D2" w:rsidR="000F5ED3" w:rsidRPr="00CD70CD" w:rsidRDefault="000F5ED3" w:rsidP="00C80DA6">
            <w:r>
              <w:t>M</w:t>
            </w:r>
          </w:p>
        </w:tc>
        <w:tc>
          <w:tcPr>
            <w:tcW w:w="2268" w:type="dxa"/>
          </w:tcPr>
          <w:p w14:paraId="6DE496F2" w14:textId="77777777" w:rsidR="000F5ED3" w:rsidRDefault="000F5ED3" w:rsidP="00C80DA6"/>
        </w:tc>
      </w:tr>
      <w:tr w:rsidR="000F5ED3" w14:paraId="04D5368F" w14:textId="77777777" w:rsidTr="00406306">
        <w:trPr>
          <w:cantSplit/>
          <w:jc w:val="center"/>
        </w:trPr>
        <w:tc>
          <w:tcPr>
            <w:tcW w:w="567" w:type="dxa"/>
          </w:tcPr>
          <w:p w14:paraId="3D151688" w14:textId="7FA2BA61" w:rsidR="000F5ED3" w:rsidRDefault="007312E9" w:rsidP="00922BC7">
            <w:r>
              <w:t>T04</w:t>
            </w:r>
          </w:p>
        </w:tc>
        <w:tc>
          <w:tcPr>
            <w:tcW w:w="3175" w:type="dxa"/>
          </w:tcPr>
          <w:p w14:paraId="6D0E3353" w14:textId="58D912A8" w:rsidR="000F5ED3" w:rsidRPr="00C21B2D" w:rsidRDefault="000F5ED3" w:rsidP="00C21B2D">
            <w:r>
              <w:t xml:space="preserve">De oplossing kan Persistent </w:t>
            </w:r>
            <w:proofErr w:type="spellStart"/>
            <w:r>
              <w:t>Identifiers</w:t>
            </w:r>
            <w:proofErr w:type="spellEnd"/>
            <w:r>
              <w:t xml:space="preserve"> aanmaken voor elke versie of manifestatie van een informatieobject.</w:t>
            </w:r>
          </w:p>
        </w:tc>
        <w:tc>
          <w:tcPr>
            <w:tcW w:w="1701" w:type="dxa"/>
          </w:tcPr>
          <w:p w14:paraId="5F89550D" w14:textId="27AC50B6" w:rsidR="000F5ED3" w:rsidRDefault="000F5ED3" w:rsidP="00922BC7">
            <w:r>
              <w:t>Zoeken</w:t>
            </w:r>
          </w:p>
        </w:tc>
        <w:tc>
          <w:tcPr>
            <w:tcW w:w="1134" w:type="dxa"/>
          </w:tcPr>
          <w:p w14:paraId="3290B1AF" w14:textId="472AA193" w:rsidR="000F5ED3" w:rsidRDefault="000F5ED3" w:rsidP="00922BC7">
            <w:r>
              <w:t>S</w:t>
            </w:r>
          </w:p>
        </w:tc>
        <w:tc>
          <w:tcPr>
            <w:tcW w:w="2268" w:type="dxa"/>
          </w:tcPr>
          <w:p w14:paraId="5DAE5A90" w14:textId="70EFBE5A" w:rsidR="000F5ED3" w:rsidRPr="00C21B2D" w:rsidRDefault="000F5ED3" w:rsidP="00C21B2D">
            <w:commentRangeStart w:id="2"/>
            <w:r>
              <w:t>PSA Duurzaam hergebruik van ruimtelijke data (KIA)</w:t>
            </w:r>
            <w:commentRangeEnd w:id="2"/>
            <w:r w:rsidR="00FA7ABA">
              <w:rPr>
                <w:rStyle w:val="Verwijzingopmerking"/>
              </w:rPr>
              <w:commentReference w:id="2"/>
            </w:r>
            <w:r w:rsidR="009A0D57">
              <w:t xml:space="preserve"> 3.8</w:t>
            </w:r>
          </w:p>
        </w:tc>
      </w:tr>
      <w:tr w:rsidR="000F5ED3" w14:paraId="3417646C" w14:textId="77777777" w:rsidTr="00406306">
        <w:trPr>
          <w:cantSplit/>
          <w:jc w:val="center"/>
        </w:trPr>
        <w:tc>
          <w:tcPr>
            <w:tcW w:w="567" w:type="dxa"/>
          </w:tcPr>
          <w:p w14:paraId="446B557C" w14:textId="64E77274" w:rsidR="000F5ED3" w:rsidRDefault="007312E9" w:rsidP="00922BC7">
            <w:r>
              <w:lastRenderedPageBreak/>
              <w:t>T05</w:t>
            </w:r>
          </w:p>
        </w:tc>
        <w:tc>
          <w:tcPr>
            <w:tcW w:w="3175" w:type="dxa"/>
          </w:tcPr>
          <w:p w14:paraId="64BB5C9F" w14:textId="365790CB" w:rsidR="000F5ED3" w:rsidRPr="005B48DA" w:rsidRDefault="000F5ED3" w:rsidP="00C21B2D">
            <w:r w:rsidRPr="00C21B2D">
              <w:t xml:space="preserve">De oplossing biedt de mogelijkheid tot integratie en interoperabiliteit met andere informatiesystemen die over de passende functionaliteit beschikken voor </w:t>
            </w:r>
            <w:r>
              <w:t>het beschikbaar stellen van informatieobjecten en metagegevens</w:t>
            </w:r>
            <w:r w:rsidRPr="00C21B2D">
              <w:t>.</w:t>
            </w:r>
          </w:p>
        </w:tc>
        <w:tc>
          <w:tcPr>
            <w:tcW w:w="1701" w:type="dxa"/>
          </w:tcPr>
          <w:p w14:paraId="5803AACB" w14:textId="67CDB790" w:rsidR="000F5ED3" w:rsidRDefault="000F5ED3" w:rsidP="00922BC7">
            <w:r>
              <w:t>Uitwisseling</w:t>
            </w:r>
          </w:p>
        </w:tc>
        <w:tc>
          <w:tcPr>
            <w:tcW w:w="1134" w:type="dxa"/>
          </w:tcPr>
          <w:p w14:paraId="7B002E84" w14:textId="7CCFDFC9" w:rsidR="000F5ED3" w:rsidRDefault="000F5ED3" w:rsidP="00922BC7">
            <w:r>
              <w:t>M</w:t>
            </w:r>
          </w:p>
        </w:tc>
        <w:tc>
          <w:tcPr>
            <w:tcW w:w="2268" w:type="dxa"/>
          </w:tcPr>
          <w:p w14:paraId="0192E889" w14:textId="77777777" w:rsidR="000F5ED3" w:rsidRPr="00C21B2D" w:rsidRDefault="000F5ED3" w:rsidP="00C21B2D">
            <w:r w:rsidRPr="00C21B2D">
              <w:t>NEN-ISO 16175-1:2020</w:t>
            </w:r>
          </w:p>
          <w:p w14:paraId="5713F7D4" w14:textId="04FBB41B" w:rsidR="000F5ED3" w:rsidRPr="005B48DA" w:rsidRDefault="000F5ED3" w:rsidP="00C21B2D">
            <w:r w:rsidRPr="00C21B2D">
              <w:t>R4.</w:t>
            </w:r>
            <w:r>
              <w:t>1.3</w:t>
            </w:r>
          </w:p>
        </w:tc>
      </w:tr>
      <w:tr w:rsidR="000F5ED3" w14:paraId="102FA93B" w14:textId="77777777" w:rsidTr="00406306">
        <w:trPr>
          <w:cantSplit/>
          <w:jc w:val="center"/>
        </w:trPr>
        <w:tc>
          <w:tcPr>
            <w:tcW w:w="567" w:type="dxa"/>
          </w:tcPr>
          <w:p w14:paraId="4DFC2E44" w14:textId="3F2B2571" w:rsidR="000F5ED3" w:rsidRDefault="007312E9" w:rsidP="00922BC7">
            <w:r>
              <w:t>T06</w:t>
            </w:r>
          </w:p>
        </w:tc>
        <w:tc>
          <w:tcPr>
            <w:tcW w:w="3175" w:type="dxa"/>
          </w:tcPr>
          <w:p w14:paraId="6128F045" w14:textId="22A3B97D" w:rsidR="000F5ED3" w:rsidRPr="0087017B" w:rsidRDefault="000F5ED3" w:rsidP="0087017B">
            <w:r>
              <w:t xml:space="preserve">De oplossing biedt een mogelijkheid om informatieobjecten en metagegevens beschikbaar te stellen </w:t>
            </w:r>
            <w:r w:rsidRPr="0087017B">
              <w:t>op mobiele apparaten.</w:t>
            </w:r>
          </w:p>
          <w:p w14:paraId="5E87D1D9" w14:textId="77777777" w:rsidR="000F5ED3" w:rsidRDefault="000F5ED3" w:rsidP="00323996"/>
        </w:tc>
        <w:tc>
          <w:tcPr>
            <w:tcW w:w="1701" w:type="dxa"/>
          </w:tcPr>
          <w:p w14:paraId="0DDD3BC0" w14:textId="1BA8A8F8" w:rsidR="000F5ED3" w:rsidRDefault="000F5ED3" w:rsidP="00922BC7">
            <w:r>
              <w:t>Representatie</w:t>
            </w:r>
          </w:p>
        </w:tc>
        <w:tc>
          <w:tcPr>
            <w:tcW w:w="1134" w:type="dxa"/>
          </w:tcPr>
          <w:p w14:paraId="27CFE5C1" w14:textId="49EC7685" w:rsidR="000F5ED3" w:rsidRDefault="000F5ED3" w:rsidP="00922BC7">
            <w:r>
              <w:t>C</w:t>
            </w:r>
          </w:p>
        </w:tc>
        <w:tc>
          <w:tcPr>
            <w:tcW w:w="2268" w:type="dxa"/>
          </w:tcPr>
          <w:p w14:paraId="47EED669" w14:textId="77777777" w:rsidR="000F5ED3" w:rsidRPr="0087017B" w:rsidRDefault="000F5ED3" w:rsidP="0087017B">
            <w:r w:rsidRPr="0087017B">
              <w:t>NEN-ISO 16175-1:2020</w:t>
            </w:r>
          </w:p>
          <w:p w14:paraId="45A2C36B" w14:textId="2E0DCE84" w:rsidR="000F5ED3" w:rsidRDefault="000F5ED3" w:rsidP="0087017B">
            <w:r w:rsidRPr="0087017B">
              <w:t>R4.1.</w:t>
            </w:r>
            <w:r>
              <w:t>4</w:t>
            </w:r>
          </w:p>
        </w:tc>
      </w:tr>
      <w:tr w:rsidR="000F5ED3" w14:paraId="728C6E95" w14:textId="77777777" w:rsidTr="00406306">
        <w:trPr>
          <w:cantSplit/>
          <w:jc w:val="center"/>
        </w:trPr>
        <w:tc>
          <w:tcPr>
            <w:tcW w:w="567" w:type="dxa"/>
          </w:tcPr>
          <w:p w14:paraId="609C90CE" w14:textId="270477E4" w:rsidR="000F5ED3" w:rsidRDefault="007312E9" w:rsidP="00922BC7">
            <w:r>
              <w:t>T07</w:t>
            </w:r>
          </w:p>
        </w:tc>
        <w:tc>
          <w:tcPr>
            <w:tcW w:w="3175" w:type="dxa"/>
          </w:tcPr>
          <w:p w14:paraId="716C218C" w14:textId="696997A1" w:rsidR="000F5ED3" w:rsidRPr="00255C48" w:rsidRDefault="000F5ED3" w:rsidP="00FA3C41">
            <w:r>
              <w:t>De oplossing biedt een mogelijkheid</w:t>
            </w:r>
            <w:r w:rsidRPr="007F43AC">
              <w:t xml:space="preserve"> voor gebruikers om gepersonaliseerde weergaven</w:t>
            </w:r>
            <w:r>
              <w:t xml:space="preserve"> </w:t>
            </w:r>
            <w:r w:rsidRPr="007F43AC">
              <w:t>van zoek</w:t>
            </w:r>
            <w:r>
              <w:t>resultat</w:t>
            </w:r>
            <w:r w:rsidRPr="007F43AC">
              <w:t xml:space="preserve">en </w:t>
            </w:r>
            <w:r>
              <w:t>te configureren</w:t>
            </w:r>
            <w:r w:rsidRPr="007F43AC">
              <w:t>.</w:t>
            </w:r>
          </w:p>
        </w:tc>
        <w:tc>
          <w:tcPr>
            <w:tcW w:w="1701" w:type="dxa"/>
          </w:tcPr>
          <w:p w14:paraId="5E9AFC84" w14:textId="6FC012B0" w:rsidR="000F5ED3" w:rsidRDefault="000F5ED3" w:rsidP="00922BC7">
            <w:r>
              <w:t>Representatie</w:t>
            </w:r>
          </w:p>
        </w:tc>
        <w:tc>
          <w:tcPr>
            <w:tcW w:w="1134" w:type="dxa"/>
          </w:tcPr>
          <w:p w14:paraId="0373698F" w14:textId="77BA2179" w:rsidR="000F5ED3" w:rsidRDefault="000F5ED3" w:rsidP="00922BC7">
            <w:r>
              <w:t>C</w:t>
            </w:r>
          </w:p>
        </w:tc>
        <w:tc>
          <w:tcPr>
            <w:tcW w:w="2268" w:type="dxa"/>
          </w:tcPr>
          <w:p w14:paraId="619F92E9" w14:textId="77777777" w:rsidR="000F5ED3" w:rsidRPr="007F43AC" w:rsidRDefault="000F5ED3" w:rsidP="007F43AC">
            <w:r w:rsidRPr="007F43AC">
              <w:t>NEN-ISO 16175-1:2020</w:t>
            </w:r>
          </w:p>
          <w:p w14:paraId="4A492139" w14:textId="2F367DEA" w:rsidR="000F5ED3" w:rsidRDefault="000F5ED3" w:rsidP="007F43AC">
            <w:r w:rsidRPr="007F43AC">
              <w:t>R4.1.</w:t>
            </w:r>
            <w:r>
              <w:t>5</w:t>
            </w:r>
          </w:p>
        </w:tc>
      </w:tr>
      <w:tr w:rsidR="000F5ED3" w14:paraId="5125E9C6" w14:textId="77777777" w:rsidTr="00406306">
        <w:trPr>
          <w:cantSplit/>
          <w:jc w:val="center"/>
        </w:trPr>
        <w:tc>
          <w:tcPr>
            <w:tcW w:w="567" w:type="dxa"/>
          </w:tcPr>
          <w:p w14:paraId="65BB56D6" w14:textId="526D7B2F" w:rsidR="000F5ED3" w:rsidRDefault="007312E9" w:rsidP="00922BC7">
            <w:r>
              <w:t>T08</w:t>
            </w:r>
          </w:p>
        </w:tc>
        <w:tc>
          <w:tcPr>
            <w:tcW w:w="3175" w:type="dxa"/>
          </w:tcPr>
          <w:p w14:paraId="5EFF4108" w14:textId="6F78F5D6" w:rsidR="000F5ED3" w:rsidRDefault="000F5ED3" w:rsidP="00FA3C41">
            <w:r>
              <w:t xml:space="preserve">De oplossing biedt een mogelijkheid om externe gebruikers toegang te geven tot informatieobjecten en/of metagegevens </w:t>
            </w:r>
          </w:p>
        </w:tc>
        <w:tc>
          <w:tcPr>
            <w:tcW w:w="1701" w:type="dxa"/>
          </w:tcPr>
          <w:p w14:paraId="06A48B0B" w14:textId="3FE8A3A3" w:rsidR="000F5ED3" w:rsidRDefault="000F5ED3" w:rsidP="00922BC7">
            <w:r>
              <w:t xml:space="preserve">Toegangsbeheer </w:t>
            </w:r>
          </w:p>
        </w:tc>
        <w:tc>
          <w:tcPr>
            <w:tcW w:w="1134" w:type="dxa"/>
          </w:tcPr>
          <w:p w14:paraId="1121ABA5" w14:textId="799ACB8C" w:rsidR="000F5ED3" w:rsidRDefault="000F5ED3" w:rsidP="00922BC7">
            <w:r>
              <w:t>C</w:t>
            </w:r>
          </w:p>
        </w:tc>
        <w:tc>
          <w:tcPr>
            <w:tcW w:w="2268" w:type="dxa"/>
          </w:tcPr>
          <w:p w14:paraId="0A542B88" w14:textId="77777777" w:rsidR="000F5ED3" w:rsidRPr="007F43AC" w:rsidRDefault="000F5ED3" w:rsidP="007F43AC">
            <w:r w:rsidRPr="007F43AC">
              <w:t>NEN-ISO 16175-1:2020</w:t>
            </w:r>
          </w:p>
          <w:p w14:paraId="68279256" w14:textId="27CCB7C6" w:rsidR="000F5ED3" w:rsidRDefault="000F5ED3" w:rsidP="007F43AC">
            <w:r w:rsidRPr="007F43AC">
              <w:t>R4.1.</w:t>
            </w:r>
            <w:r>
              <w:t>6</w:t>
            </w:r>
          </w:p>
        </w:tc>
      </w:tr>
      <w:tr w:rsidR="000F5ED3" w14:paraId="7CCC5FD7" w14:textId="77777777" w:rsidTr="00406306">
        <w:trPr>
          <w:cantSplit/>
          <w:jc w:val="center"/>
        </w:trPr>
        <w:tc>
          <w:tcPr>
            <w:tcW w:w="567" w:type="dxa"/>
          </w:tcPr>
          <w:p w14:paraId="44BE1ABB" w14:textId="04E14754" w:rsidR="000F5ED3" w:rsidRDefault="007312E9" w:rsidP="00FA3C41">
            <w:r>
              <w:t>T09</w:t>
            </w:r>
          </w:p>
        </w:tc>
        <w:tc>
          <w:tcPr>
            <w:tcW w:w="3175" w:type="dxa"/>
          </w:tcPr>
          <w:p w14:paraId="4C145226" w14:textId="4A36FC5B" w:rsidR="000F5ED3" w:rsidRDefault="000F5ED3" w:rsidP="00FA3C41">
            <w:r>
              <w:t xml:space="preserve">De oplossing biedt een mogelijkheid om informatieobjecten en/of (meta)gegevens </w:t>
            </w:r>
            <w:r w:rsidRPr="00FA3C41">
              <w:t xml:space="preserve">beschikbaar te stellen voor </w:t>
            </w:r>
            <w:r>
              <w:t>gebruik</w:t>
            </w:r>
            <w:r w:rsidRPr="00FA3C41">
              <w:t xml:space="preserve"> door externe </w:t>
            </w:r>
            <w:r>
              <w:t xml:space="preserve">platformen, </w:t>
            </w:r>
            <w:r w:rsidRPr="00FA3C41">
              <w:t>diensten en</w:t>
            </w:r>
            <w:r>
              <w:t>/of</w:t>
            </w:r>
            <w:r w:rsidRPr="00FA3C41">
              <w:t xml:space="preserve"> applicaties</w:t>
            </w:r>
            <w:r>
              <w:t>.</w:t>
            </w:r>
            <w:r w:rsidRPr="00FA3C41">
              <w:t xml:space="preserve"> </w:t>
            </w:r>
          </w:p>
        </w:tc>
        <w:tc>
          <w:tcPr>
            <w:tcW w:w="1701" w:type="dxa"/>
          </w:tcPr>
          <w:p w14:paraId="74B50A26" w14:textId="527B4D30" w:rsidR="000F5ED3" w:rsidRDefault="000F5ED3" w:rsidP="00FA3C41">
            <w:r>
              <w:t>Uitwisseling</w:t>
            </w:r>
          </w:p>
        </w:tc>
        <w:tc>
          <w:tcPr>
            <w:tcW w:w="1134" w:type="dxa"/>
          </w:tcPr>
          <w:p w14:paraId="1A4200CA" w14:textId="6E611AD9" w:rsidR="000F5ED3" w:rsidRDefault="000F5ED3" w:rsidP="00FA3C41">
            <w:r>
              <w:t>C</w:t>
            </w:r>
          </w:p>
        </w:tc>
        <w:tc>
          <w:tcPr>
            <w:tcW w:w="2268" w:type="dxa"/>
          </w:tcPr>
          <w:p w14:paraId="39393DBA" w14:textId="77777777" w:rsidR="000F5ED3" w:rsidRPr="007F43AC" w:rsidRDefault="000F5ED3" w:rsidP="00FA3C41">
            <w:r w:rsidRPr="007F43AC">
              <w:t>NEN-ISO 16175-1:2020</w:t>
            </w:r>
          </w:p>
          <w:p w14:paraId="36B5F031" w14:textId="52FCC86D" w:rsidR="000F5ED3" w:rsidRDefault="000F5ED3" w:rsidP="00FA3C41">
            <w:r w:rsidRPr="007F43AC">
              <w:t>R4.1.</w:t>
            </w:r>
            <w:r>
              <w:t>7</w:t>
            </w:r>
          </w:p>
        </w:tc>
      </w:tr>
      <w:tr w:rsidR="000F5ED3" w14:paraId="3D681EBF" w14:textId="77777777" w:rsidTr="00406306">
        <w:trPr>
          <w:cantSplit/>
          <w:jc w:val="center"/>
        </w:trPr>
        <w:tc>
          <w:tcPr>
            <w:tcW w:w="567" w:type="dxa"/>
          </w:tcPr>
          <w:p w14:paraId="4CC2BBEC" w14:textId="4AD3490E" w:rsidR="000F5ED3" w:rsidRDefault="007312E9" w:rsidP="00FA3C41">
            <w:r>
              <w:t>T10</w:t>
            </w:r>
          </w:p>
        </w:tc>
        <w:tc>
          <w:tcPr>
            <w:tcW w:w="3175" w:type="dxa"/>
          </w:tcPr>
          <w:p w14:paraId="65B03076" w14:textId="3D755A4B" w:rsidR="000F5ED3" w:rsidRDefault="000F5ED3" w:rsidP="006618BF">
            <w:r>
              <w:t>De oplossing</w:t>
            </w:r>
            <w:r w:rsidRPr="006618BF">
              <w:t xml:space="preserve"> past beveiligings- en toegangsbeperkingen </w:t>
            </w:r>
            <w:r>
              <w:t xml:space="preserve">toe </w:t>
            </w:r>
            <w:r w:rsidRPr="006618BF">
              <w:t xml:space="preserve">conform de </w:t>
            </w:r>
            <w:hyperlink r:id="rId14" w:history="1">
              <w:r w:rsidRPr="00125954">
                <w:rPr>
                  <w:rStyle w:val="Hyperlink"/>
                </w:rPr>
                <w:t>BIO (Baseline Informatiebeveiliging Overheid</w:t>
              </w:r>
            </w:hyperlink>
            <w:r w:rsidRPr="006618BF">
              <w:t>)</w:t>
            </w:r>
            <w:r>
              <w:t>,</w:t>
            </w:r>
            <w:r w:rsidRPr="006618BF">
              <w:t>om te bewerkstelligen dat gebruikers toegang krijgen tot de informatieobjecten</w:t>
            </w:r>
            <w:r>
              <w:t xml:space="preserve"> en metagegevens</w:t>
            </w:r>
            <w:r w:rsidRPr="006618BF">
              <w:t>, in overeenstemming met hun rechten.</w:t>
            </w:r>
          </w:p>
        </w:tc>
        <w:tc>
          <w:tcPr>
            <w:tcW w:w="1701" w:type="dxa"/>
          </w:tcPr>
          <w:p w14:paraId="7404CDED" w14:textId="69113ECE" w:rsidR="000F5ED3" w:rsidRDefault="000F5ED3" w:rsidP="00FA3C41">
            <w:r>
              <w:t>Toegangsbeheer</w:t>
            </w:r>
          </w:p>
        </w:tc>
        <w:tc>
          <w:tcPr>
            <w:tcW w:w="1134" w:type="dxa"/>
          </w:tcPr>
          <w:p w14:paraId="3C98F6DC" w14:textId="7919593B" w:rsidR="000F5ED3" w:rsidRDefault="000F5ED3" w:rsidP="00FA3C41">
            <w:r>
              <w:t>M</w:t>
            </w:r>
          </w:p>
        </w:tc>
        <w:tc>
          <w:tcPr>
            <w:tcW w:w="2268" w:type="dxa"/>
          </w:tcPr>
          <w:p w14:paraId="259AC9A1" w14:textId="77777777" w:rsidR="000F5ED3" w:rsidRDefault="000F5ED3" w:rsidP="006618BF">
            <w:r>
              <w:t>NEN-ISO 16175-1:2020</w:t>
            </w:r>
          </w:p>
          <w:p w14:paraId="5377FE6B" w14:textId="6A5B1159" w:rsidR="000F5ED3" w:rsidRDefault="000F5ED3" w:rsidP="006618BF">
            <w:r>
              <w:t>R4.2.1</w:t>
            </w:r>
          </w:p>
        </w:tc>
      </w:tr>
      <w:tr w:rsidR="000F5ED3" w14:paraId="09E6D791" w14:textId="77777777" w:rsidTr="00406306">
        <w:trPr>
          <w:cantSplit/>
          <w:jc w:val="center"/>
        </w:trPr>
        <w:tc>
          <w:tcPr>
            <w:tcW w:w="567" w:type="dxa"/>
          </w:tcPr>
          <w:p w14:paraId="5E7050FD" w14:textId="3EDA3D2C" w:rsidR="000F5ED3" w:rsidRDefault="007312E9" w:rsidP="00672053">
            <w:r>
              <w:t>T11</w:t>
            </w:r>
          </w:p>
        </w:tc>
        <w:tc>
          <w:tcPr>
            <w:tcW w:w="3175" w:type="dxa"/>
          </w:tcPr>
          <w:p w14:paraId="15DFDE51" w14:textId="4F94F541" w:rsidR="000F5ED3" w:rsidRDefault="000F5ED3" w:rsidP="00672053">
            <w:r>
              <w:t>De oplossing</w:t>
            </w:r>
            <w:r w:rsidRPr="00F23812">
              <w:t xml:space="preserve"> past beveiligings- en toegangsbeperkingen </w:t>
            </w:r>
            <w:r>
              <w:t xml:space="preserve">toe </w:t>
            </w:r>
            <w:r w:rsidRPr="00F23812">
              <w:t>conform de BIO (Baseline Informatiebeveiliging Overheid)</w:t>
            </w:r>
            <w:r>
              <w:t>,</w:t>
            </w:r>
            <w:r w:rsidRPr="00F23812">
              <w:t xml:space="preserve"> om de inhoud van </w:t>
            </w:r>
            <w:r>
              <w:t>informatieobjecten</w:t>
            </w:r>
            <w:r w:rsidRPr="00F23812">
              <w:t xml:space="preserve"> en metagegevens te beschermen tegen toegang, wijziging of vernietiging door onbevoegden.</w:t>
            </w:r>
          </w:p>
        </w:tc>
        <w:tc>
          <w:tcPr>
            <w:tcW w:w="1701" w:type="dxa"/>
          </w:tcPr>
          <w:p w14:paraId="4132958D" w14:textId="47333BA2" w:rsidR="000F5ED3" w:rsidRDefault="000F5ED3" w:rsidP="00672053">
            <w:r>
              <w:t>Toegangsbeheer</w:t>
            </w:r>
          </w:p>
        </w:tc>
        <w:tc>
          <w:tcPr>
            <w:tcW w:w="1134" w:type="dxa"/>
          </w:tcPr>
          <w:p w14:paraId="3AEEE135" w14:textId="5C811721" w:rsidR="000F5ED3" w:rsidRDefault="000F5ED3" w:rsidP="00672053">
            <w:r>
              <w:t>M</w:t>
            </w:r>
          </w:p>
        </w:tc>
        <w:tc>
          <w:tcPr>
            <w:tcW w:w="2268" w:type="dxa"/>
          </w:tcPr>
          <w:p w14:paraId="25229719" w14:textId="77777777" w:rsidR="000F5ED3" w:rsidRPr="00672053" w:rsidRDefault="000F5ED3" w:rsidP="00672053">
            <w:r w:rsidRPr="00672053">
              <w:t>NEN-ISO 16175-1:2020</w:t>
            </w:r>
          </w:p>
          <w:p w14:paraId="08D90D7B" w14:textId="3B0B7220" w:rsidR="000F5ED3" w:rsidRDefault="000F5ED3" w:rsidP="00672053">
            <w:r w:rsidRPr="00672053">
              <w:t>R4.2.1</w:t>
            </w:r>
          </w:p>
        </w:tc>
      </w:tr>
      <w:tr w:rsidR="000F5ED3" w14:paraId="5E4B62F8" w14:textId="77777777" w:rsidTr="00406306">
        <w:trPr>
          <w:cantSplit/>
          <w:jc w:val="center"/>
        </w:trPr>
        <w:tc>
          <w:tcPr>
            <w:tcW w:w="567" w:type="dxa"/>
          </w:tcPr>
          <w:p w14:paraId="0015F6DD" w14:textId="4AA76293" w:rsidR="000F5ED3" w:rsidRDefault="007312E9" w:rsidP="00672053">
            <w:r>
              <w:lastRenderedPageBreak/>
              <w:t>T12</w:t>
            </w:r>
          </w:p>
        </w:tc>
        <w:tc>
          <w:tcPr>
            <w:tcW w:w="3175" w:type="dxa"/>
          </w:tcPr>
          <w:p w14:paraId="65AC2771" w14:textId="418D11C4" w:rsidR="000F5ED3" w:rsidRDefault="000F5ED3" w:rsidP="00672053">
            <w:r>
              <w:t>De oplossing</w:t>
            </w:r>
            <w:r w:rsidRPr="00F23812">
              <w:t xml:space="preserve"> creëert en onderhoudt </w:t>
            </w:r>
            <w:r>
              <w:t>gegevens waarmee</w:t>
            </w:r>
            <w:r w:rsidRPr="00F23812">
              <w:t xml:space="preserve"> </w:t>
            </w:r>
            <w:r>
              <w:t xml:space="preserve">toegang tot en gebruik van informatieobjecten en metagegevens wordt gedocumenteerd </w:t>
            </w:r>
          </w:p>
        </w:tc>
        <w:tc>
          <w:tcPr>
            <w:tcW w:w="1701" w:type="dxa"/>
          </w:tcPr>
          <w:p w14:paraId="3486ED50" w14:textId="68300573" w:rsidR="000F5ED3" w:rsidRDefault="000F5ED3" w:rsidP="00672053">
            <w:r>
              <w:t>Metagegevensbeheer</w:t>
            </w:r>
          </w:p>
        </w:tc>
        <w:tc>
          <w:tcPr>
            <w:tcW w:w="1134" w:type="dxa"/>
          </w:tcPr>
          <w:p w14:paraId="6A3E27C0" w14:textId="5F614000" w:rsidR="000F5ED3" w:rsidRDefault="000F5ED3" w:rsidP="00672053">
            <w:r>
              <w:t>M</w:t>
            </w:r>
          </w:p>
        </w:tc>
        <w:tc>
          <w:tcPr>
            <w:tcW w:w="2268" w:type="dxa"/>
          </w:tcPr>
          <w:p w14:paraId="57091730" w14:textId="77777777" w:rsidR="000F5ED3" w:rsidRPr="004B5DE4" w:rsidRDefault="000F5ED3" w:rsidP="004B5DE4">
            <w:r w:rsidRPr="004B5DE4">
              <w:t>NEN-ISO 16175-1:2020</w:t>
            </w:r>
          </w:p>
          <w:p w14:paraId="1150A80B" w14:textId="3D391E9E" w:rsidR="000F5ED3" w:rsidRDefault="000F5ED3" w:rsidP="004B5DE4">
            <w:r w:rsidRPr="004B5DE4">
              <w:t>R4.</w:t>
            </w:r>
            <w:r>
              <w:t>2.3</w:t>
            </w:r>
          </w:p>
        </w:tc>
      </w:tr>
      <w:tr w:rsidR="000F5ED3" w14:paraId="09BBCDF6" w14:textId="77777777" w:rsidTr="00406306">
        <w:trPr>
          <w:cantSplit/>
          <w:jc w:val="center"/>
        </w:trPr>
        <w:tc>
          <w:tcPr>
            <w:tcW w:w="567" w:type="dxa"/>
          </w:tcPr>
          <w:p w14:paraId="52964FB8" w14:textId="3E98C1E8" w:rsidR="000F5ED3" w:rsidRDefault="007312E9" w:rsidP="00672053">
            <w:r>
              <w:t>T13</w:t>
            </w:r>
          </w:p>
        </w:tc>
        <w:tc>
          <w:tcPr>
            <w:tcW w:w="3175" w:type="dxa"/>
          </w:tcPr>
          <w:p w14:paraId="6B7D1989" w14:textId="21C9C92C" w:rsidR="000F5ED3" w:rsidRDefault="000F5ED3" w:rsidP="00672053">
            <w:r w:rsidRPr="00F23812">
              <w:t xml:space="preserve">De oplossing </w:t>
            </w:r>
            <w:r>
              <w:t xml:space="preserve">ondersteunt </w:t>
            </w:r>
            <w:r w:rsidRPr="00F23812">
              <w:t xml:space="preserve">mechanismen voor </w:t>
            </w:r>
            <w:r>
              <w:t>het maken van publicatieversies</w:t>
            </w:r>
            <w:r w:rsidRPr="00F23812">
              <w:t xml:space="preserve"> van informat</w:t>
            </w:r>
            <w:r>
              <w:t>i</w:t>
            </w:r>
            <w:r w:rsidRPr="00F23812">
              <w:t xml:space="preserve">eobjecten. </w:t>
            </w:r>
          </w:p>
        </w:tc>
        <w:tc>
          <w:tcPr>
            <w:tcW w:w="1701" w:type="dxa"/>
          </w:tcPr>
          <w:p w14:paraId="5779B53E" w14:textId="1C5C30A0" w:rsidR="000F5ED3" w:rsidRDefault="000F5ED3" w:rsidP="00672053">
            <w:r>
              <w:t>Publicatie</w:t>
            </w:r>
          </w:p>
        </w:tc>
        <w:tc>
          <w:tcPr>
            <w:tcW w:w="1134" w:type="dxa"/>
          </w:tcPr>
          <w:p w14:paraId="732AE163" w14:textId="4F279722" w:rsidR="000F5ED3" w:rsidRDefault="000F5ED3" w:rsidP="00672053">
            <w:r>
              <w:t>C</w:t>
            </w:r>
          </w:p>
        </w:tc>
        <w:tc>
          <w:tcPr>
            <w:tcW w:w="2268" w:type="dxa"/>
          </w:tcPr>
          <w:p w14:paraId="359BFA16" w14:textId="77777777" w:rsidR="000F5ED3" w:rsidRPr="004B5DE4" w:rsidRDefault="000F5ED3" w:rsidP="004B5DE4">
            <w:r w:rsidRPr="004B5DE4">
              <w:t>NEN-ISO 16175-1:2020</w:t>
            </w:r>
          </w:p>
          <w:p w14:paraId="5211A38A" w14:textId="5E122B21" w:rsidR="000F5ED3" w:rsidRDefault="000F5ED3" w:rsidP="004B5DE4">
            <w:r w:rsidRPr="004B5DE4">
              <w:t>R4</w:t>
            </w:r>
            <w:r w:rsidR="00DE161D">
              <w:t>.3.1</w:t>
            </w:r>
          </w:p>
        </w:tc>
      </w:tr>
      <w:tr w:rsidR="000F5ED3" w14:paraId="52F78B7C" w14:textId="77777777" w:rsidTr="00406306">
        <w:trPr>
          <w:cantSplit/>
          <w:jc w:val="center"/>
        </w:trPr>
        <w:tc>
          <w:tcPr>
            <w:tcW w:w="567" w:type="dxa"/>
          </w:tcPr>
          <w:p w14:paraId="04D90E45" w14:textId="0ECDA375" w:rsidR="000F5ED3" w:rsidRDefault="007312E9" w:rsidP="00FA3C41">
            <w:r>
              <w:t>T14</w:t>
            </w:r>
          </w:p>
        </w:tc>
        <w:tc>
          <w:tcPr>
            <w:tcW w:w="3175" w:type="dxa"/>
          </w:tcPr>
          <w:p w14:paraId="16050D83" w14:textId="582B8B30" w:rsidR="000F5ED3" w:rsidRDefault="000F5ED3" w:rsidP="00EB5A6D">
            <w:r w:rsidRPr="00672053">
              <w:t xml:space="preserve">Het is mogelijk dat er een </w:t>
            </w:r>
            <w:r>
              <w:t>samenvatting</w:t>
            </w:r>
            <w:r w:rsidRPr="00672053">
              <w:t xml:space="preserve"> wordt gemaakt van een informatieobject, waarbij:</w:t>
            </w:r>
            <w:r w:rsidRPr="00672053">
              <w:br/>
              <w:t xml:space="preserve">a) gevoelige informatie wordt verwijderd of in </w:t>
            </w:r>
            <w:r>
              <w:t>de samenvatting</w:t>
            </w:r>
            <w:r w:rsidRPr="00672053">
              <w:t xml:space="preserve"> aan het zicht wordt onttrokken, terwijl </w:t>
            </w:r>
            <w:r w:rsidRPr="00672053">
              <w:br/>
              <w:t xml:space="preserve">b) het oorspronkelijke </w:t>
            </w:r>
            <w:r>
              <w:t>informatieobject</w:t>
            </w:r>
            <w:r w:rsidRPr="00672053">
              <w:t xml:space="preserve"> intact blijft en </w:t>
            </w:r>
            <w:r w:rsidRPr="00672053">
              <w:br/>
              <w:t>c) wordt bew</w:t>
            </w:r>
            <w:r w:rsidRPr="001A5F76">
              <w:t xml:space="preserve">erkstelligd dat de metagegevens die het maken van </w:t>
            </w:r>
            <w:r>
              <w:t>de samenvatting</w:t>
            </w:r>
            <w:r w:rsidRPr="001A5F76">
              <w:t xml:space="preserve"> documenteren, worden gegenereerd en opgenomen.</w:t>
            </w:r>
          </w:p>
        </w:tc>
        <w:tc>
          <w:tcPr>
            <w:tcW w:w="1701" w:type="dxa"/>
          </w:tcPr>
          <w:p w14:paraId="7DB9A8C7" w14:textId="0286F374" w:rsidR="000F5ED3" w:rsidRDefault="000F5ED3" w:rsidP="00FA3C41">
            <w:r>
              <w:t>Maskering</w:t>
            </w:r>
          </w:p>
        </w:tc>
        <w:tc>
          <w:tcPr>
            <w:tcW w:w="1134" w:type="dxa"/>
          </w:tcPr>
          <w:p w14:paraId="568CE2D0" w14:textId="568BDC8B" w:rsidR="000F5ED3" w:rsidRDefault="000F5ED3" w:rsidP="00FA3C41">
            <w:r>
              <w:t>S</w:t>
            </w:r>
          </w:p>
        </w:tc>
        <w:tc>
          <w:tcPr>
            <w:tcW w:w="2268" w:type="dxa"/>
          </w:tcPr>
          <w:p w14:paraId="18203233" w14:textId="77777777" w:rsidR="000F5ED3" w:rsidRPr="004B5DE4" w:rsidRDefault="000F5ED3" w:rsidP="004B5DE4">
            <w:r w:rsidRPr="004B5DE4">
              <w:t>NEN-ISO 16175-1:2020</w:t>
            </w:r>
          </w:p>
          <w:p w14:paraId="66F15284" w14:textId="657FBE13" w:rsidR="000F5ED3" w:rsidRDefault="000F5ED3" w:rsidP="004B5DE4">
            <w:r w:rsidRPr="004B5DE4">
              <w:t>R4.</w:t>
            </w:r>
            <w:r>
              <w:t>3.2</w:t>
            </w:r>
          </w:p>
        </w:tc>
      </w:tr>
      <w:tr w:rsidR="000F5ED3" w14:paraId="06193BD8" w14:textId="77777777" w:rsidTr="00406306">
        <w:trPr>
          <w:cantSplit/>
          <w:jc w:val="center"/>
        </w:trPr>
        <w:tc>
          <w:tcPr>
            <w:tcW w:w="567" w:type="dxa"/>
          </w:tcPr>
          <w:p w14:paraId="7DAF05B6" w14:textId="558D1C55" w:rsidR="000F5ED3" w:rsidRDefault="007312E9" w:rsidP="00FA3C41">
            <w:r>
              <w:t>T15</w:t>
            </w:r>
          </w:p>
        </w:tc>
        <w:tc>
          <w:tcPr>
            <w:tcW w:w="3175" w:type="dxa"/>
          </w:tcPr>
          <w:p w14:paraId="3E7B0603" w14:textId="11216342" w:rsidR="000F5ED3" w:rsidRDefault="000F5ED3" w:rsidP="00EB5A6D">
            <w:r>
              <w:t xml:space="preserve">Het is mogelijk dat </w:t>
            </w:r>
            <w:r w:rsidRPr="00EB5A6D">
              <w:t xml:space="preserve">een beschrijving van de structuur van gegevens beschikbaar </w:t>
            </w:r>
            <w:r>
              <w:t>wordt gesteld, waarmee</w:t>
            </w:r>
            <w:r w:rsidRPr="00EB5A6D">
              <w:t xml:space="preserve"> een gebruiker de gegevens op een goede manier kan interp</w:t>
            </w:r>
            <w:r>
              <w:t>re</w:t>
            </w:r>
            <w:r w:rsidRPr="00EB5A6D">
              <w:t>teren en gebruiken in een toepassing.</w:t>
            </w:r>
          </w:p>
        </w:tc>
        <w:tc>
          <w:tcPr>
            <w:tcW w:w="1701" w:type="dxa"/>
          </w:tcPr>
          <w:p w14:paraId="4355D983" w14:textId="0874B4CB" w:rsidR="000F5ED3" w:rsidRDefault="000F5ED3" w:rsidP="00FA3C41">
            <w:r>
              <w:t>Validatie</w:t>
            </w:r>
          </w:p>
        </w:tc>
        <w:tc>
          <w:tcPr>
            <w:tcW w:w="1134" w:type="dxa"/>
          </w:tcPr>
          <w:p w14:paraId="4F86615D" w14:textId="4E98B442" w:rsidR="000F5ED3" w:rsidRDefault="000F5ED3" w:rsidP="00FA3C41">
            <w:r>
              <w:t>C</w:t>
            </w:r>
          </w:p>
        </w:tc>
        <w:tc>
          <w:tcPr>
            <w:tcW w:w="2268" w:type="dxa"/>
          </w:tcPr>
          <w:p w14:paraId="510AD773" w14:textId="77777777" w:rsidR="000F5ED3" w:rsidRPr="00EB5A6D" w:rsidRDefault="000F5ED3" w:rsidP="00EB5A6D">
            <w:r w:rsidRPr="00EB5A6D">
              <w:t>Handreiking open data 2.0 (KOOP)</w:t>
            </w:r>
            <w:r w:rsidRPr="00EB5A6D">
              <w:br/>
              <w:t>4.1</w:t>
            </w:r>
          </w:p>
          <w:p w14:paraId="2EAB8BA6" w14:textId="77777777" w:rsidR="000F5ED3" w:rsidRDefault="000F5ED3" w:rsidP="00FA3C41"/>
        </w:tc>
      </w:tr>
      <w:tr w:rsidR="000F5ED3" w14:paraId="1DCAA002" w14:textId="77777777" w:rsidTr="00406306">
        <w:trPr>
          <w:cantSplit/>
          <w:jc w:val="center"/>
        </w:trPr>
        <w:tc>
          <w:tcPr>
            <w:tcW w:w="567" w:type="dxa"/>
          </w:tcPr>
          <w:p w14:paraId="11198D76" w14:textId="3DD65B4C" w:rsidR="000F5ED3" w:rsidRDefault="007312E9" w:rsidP="00FA3C41">
            <w:r>
              <w:t>T16</w:t>
            </w:r>
          </w:p>
        </w:tc>
        <w:tc>
          <w:tcPr>
            <w:tcW w:w="3175" w:type="dxa"/>
          </w:tcPr>
          <w:p w14:paraId="1C549FFE" w14:textId="1B7932E7" w:rsidR="000F5ED3" w:rsidRDefault="000F5ED3" w:rsidP="002A418F">
            <w:r>
              <w:t xml:space="preserve">De oplossing </w:t>
            </w:r>
            <w:r w:rsidRPr="002A418F">
              <w:t xml:space="preserve">biedt bij </w:t>
            </w:r>
            <w:r>
              <w:t>het</w:t>
            </w:r>
            <w:r w:rsidRPr="002A418F">
              <w:t xml:space="preserve"> beschikbaar </w:t>
            </w:r>
            <w:r>
              <w:t>stellen van</w:t>
            </w:r>
            <w:r w:rsidRPr="002A418F">
              <w:t xml:space="preserve"> </w:t>
            </w:r>
            <w:r>
              <w:t>informatieobjecten en/of metagegevens</w:t>
            </w:r>
            <w:r w:rsidRPr="002A418F">
              <w:t xml:space="preserve"> een </w:t>
            </w:r>
            <w:r>
              <w:t xml:space="preserve">mogelijkheid </w:t>
            </w:r>
            <w:r w:rsidRPr="002A418F">
              <w:t xml:space="preserve"> aan </w:t>
            </w:r>
            <w:r>
              <w:t xml:space="preserve">waarmee </w:t>
            </w:r>
            <w:r w:rsidRPr="002A418F">
              <w:t>gebruikers</w:t>
            </w:r>
            <w:r>
              <w:t xml:space="preserve"> </w:t>
            </w:r>
            <w:r w:rsidRPr="002A418F">
              <w:t>terugmeldingen</w:t>
            </w:r>
            <w:r>
              <w:t xml:space="preserve"> kunnen</w:t>
            </w:r>
            <w:r w:rsidRPr="002A418F">
              <w:t xml:space="preserve"> </w:t>
            </w:r>
            <w:r>
              <w:t>doen</w:t>
            </w:r>
            <w:r w:rsidRPr="002A418F">
              <w:t xml:space="preserve"> over de weergave en de kwaliteit.</w:t>
            </w:r>
          </w:p>
        </w:tc>
        <w:tc>
          <w:tcPr>
            <w:tcW w:w="1701" w:type="dxa"/>
          </w:tcPr>
          <w:p w14:paraId="5EA82230" w14:textId="26F5FCF4" w:rsidR="000F5ED3" w:rsidRDefault="000F5ED3" w:rsidP="00FA3C41">
            <w:r>
              <w:t>Validatie</w:t>
            </w:r>
          </w:p>
        </w:tc>
        <w:tc>
          <w:tcPr>
            <w:tcW w:w="1134" w:type="dxa"/>
          </w:tcPr>
          <w:p w14:paraId="733470F6" w14:textId="1DB0FA90" w:rsidR="000F5ED3" w:rsidRDefault="000F5ED3" w:rsidP="00FA3C41">
            <w:r>
              <w:t>C</w:t>
            </w:r>
          </w:p>
        </w:tc>
        <w:tc>
          <w:tcPr>
            <w:tcW w:w="2268" w:type="dxa"/>
          </w:tcPr>
          <w:p w14:paraId="422FEC6F" w14:textId="77777777" w:rsidR="000F5ED3" w:rsidRPr="00435D24" w:rsidRDefault="000F5ED3" w:rsidP="00435D24">
            <w:r w:rsidRPr="00435D24">
              <w:t>Handreiking open data 2.0 (KOOP)</w:t>
            </w:r>
            <w:r w:rsidRPr="00435D24">
              <w:br/>
              <w:t>4.1</w:t>
            </w:r>
          </w:p>
          <w:p w14:paraId="555E4D5C" w14:textId="77777777" w:rsidR="000F5ED3" w:rsidRDefault="000F5ED3" w:rsidP="00FA3C41"/>
        </w:tc>
      </w:tr>
      <w:tr w:rsidR="000F5ED3" w14:paraId="0485767A" w14:textId="77777777" w:rsidTr="00406306">
        <w:trPr>
          <w:cantSplit/>
          <w:jc w:val="center"/>
        </w:trPr>
        <w:tc>
          <w:tcPr>
            <w:tcW w:w="567" w:type="dxa"/>
          </w:tcPr>
          <w:p w14:paraId="3967FC26" w14:textId="1994DDDD" w:rsidR="000F5ED3" w:rsidRDefault="007312E9" w:rsidP="00FA3C41">
            <w:r>
              <w:t>T17</w:t>
            </w:r>
          </w:p>
        </w:tc>
        <w:tc>
          <w:tcPr>
            <w:tcW w:w="3175" w:type="dxa"/>
          </w:tcPr>
          <w:p w14:paraId="6541049C" w14:textId="71C26E8F" w:rsidR="000F5ED3" w:rsidRDefault="000F5ED3" w:rsidP="00FA3C41">
            <w:r w:rsidRPr="004F62A8">
              <w:t xml:space="preserve">De oplossing kan mechanismen ondersteunen waarmee informatieobjecten </w:t>
            </w:r>
            <w:proofErr w:type="spellStart"/>
            <w:r w:rsidRPr="004F62A8">
              <w:t>Digitoegankelijk</w:t>
            </w:r>
            <w:proofErr w:type="spellEnd"/>
            <w:r w:rsidRPr="004F62A8">
              <w:t xml:space="preserve"> beschikbaar worden gesteld conform het </w:t>
            </w:r>
            <w:hyperlink r:id="rId15" w:history="1">
              <w:r w:rsidRPr="00125954">
                <w:rPr>
                  <w:rStyle w:val="Hyperlink"/>
                </w:rPr>
                <w:t>Besluit digitale toegankelijkheid overheid</w:t>
              </w:r>
            </w:hyperlink>
            <w:r w:rsidRPr="004F62A8">
              <w:t>.</w:t>
            </w:r>
          </w:p>
        </w:tc>
        <w:tc>
          <w:tcPr>
            <w:tcW w:w="1701" w:type="dxa"/>
          </w:tcPr>
          <w:p w14:paraId="57A2DE32" w14:textId="32FCCCDC" w:rsidR="000F5ED3" w:rsidRDefault="000F5ED3" w:rsidP="00FA3C41">
            <w:r>
              <w:t>Representatie</w:t>
            </w:r>
          </w:p>
        </w:tc>
        <w:tc>
          <w:tcPr>
            <w:tcW w:w="1134" w:type="dxa"/>
          </w:tcPr>
          <w:p w14:paraId="1E330653" w14:textId="1B7D1DE9" w:rsidR="000F5ED3" w:rsidRDefault="000F5ED3" w:rsidP="00FA3C41">
            <w:r>
              <w:t>M</w:t>
            </w:r>
          </w:p>
        </w:tc>
        <w:tc>
          <w:tcPr>
            <w:tcW w:w="2268" w:type="dxa"/>
          </w:tcPr>
          <w:p w14:paraId="1886C021" w14:textId="77777777" w:rsidR="000F5ED3" w:rsidRDefault="000F5ED3" w:rsidP="00FA3C41"/>
        </w:tc>
      </w:tr>
      <w:tr w:rsidR="000F5ED3" w14:paraId="5B0F27E7" w14:textId="77777777" w:rsidTr="00406306">
        <w:trPr>
          <w:cantSplit/>
          <w:jc w:val="center"/>
        </w:trPr>
        <w:tc>
          <w:tcPr>
            <w:tcW w:w="567" w:type="dxa"/>
          </w:tcPr>
          <w:p w14:paraId="0F1EDA8C" w14:textId="379BACCC" w:rsidR="000F5ED3" w:rsidRDefault="007312E9" w:rsidP="00FA3C41">
            <w:r>
              <w:t>T18</w:t>
            </w:r>
          </w:p>
        </w:tc>
        <w:tc>
          <w:tcPr>
            <w:tcW w:w="3175" w:type="dxa"/>
          </w:tcPr>
          <w:p w14:paraId="2DB2F77D" w14:textId="4FE6C17A" w:rsidR="000F5ED3" w:rsidRDefault="000F5ED3" w:rsidP="00FA3C41">
            <w:r>
              <w:t>De oplossing biedt een mogelijkheid om informatieobjecten te converteren naar een formaat dat (beter) geschikt is voor beschikbaarstelling</w:t>
            </w:r>
          </w:p>
        </w:tc>
        <w:tc>
          <w:tcPr>
            <w:tcW w:w="1701" w:type="dxa"/>
          </w:tcPr>
          <w:p w14:paraId="700DFE9C" w14:textId="6551B2E7" w:rsidR="000F5ED3" w:rsidRDefault="000F5ED3" w:rsidP="00FA3C41">
            <w:r>
              <w:t>Conversie</w:t>
            </w:r>
          </w:p>
        </w:tc>
        <w:tc>
          <w:tcPr>
            <w:tcW w:w="1134" w:type="dxa"/>
          </w:tcPr>
          <w:p w14:paraId="63ED9BEF" w14:textId="0A492EA6" w:rsidR="000F5ED3" w:rsidRDefault="000F5ED3" w:rsidP="00FA3C41">
            <w:r>
              <w:t>S</w:t>
            </w:r>
          </w:p>
        </w:tc>
        <w:tc>
          <w:tcPr>
            <w:tcW w:w="2268" w:type="dxa"/>
          </w:tcPr>
          <w:p w14:paraId="0B912A44" w14:textId="77777777" w:rsidR="000F5ED3" w:rsidRDefault="000F5ED3" w:rsidP="00FA3C41"/>
        </w:tc>
      </w:tr>
    </w:tbl>
    <w:p w14:paraId="601D1B1C" w14:textId="77777777" w:rsidR="00F82096" w:rsidRPr="00313F9D" w:rsidRDefault="00F82096">
      <w:pPr>
        <w:rPr>
          <w:rFonts w:ascii="Verdana" w:hAnsi="Verdana"/>
          <w:b/>
          <w:bCs/>
          <w:sz w:val="20"/>
          <w:szCs w:val="20"/>
        </w:rPr>
      </w:pPr>
    </w:p>
    <w:sectPr w:rsidR="00F82096" w:rsidRPr="00313F9D" w:rsidSect="00822CA2">
      <w:pgSz w:w="11906" w:h="16838"/>
      <w:pgMar w:top="993" w:right="1417" w:bottom="709"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ost, Vincent" w:date="2023-08-28T11:31:00Z" w:initials="PV">
    <w:p w14:paraId="6A9E0E8B" w14:textId="2FF37063" w:rsidR="000C630E" w:rsidRDefault="000C630E">
      <w:pPr>
        <w:pStyle w:val="Tekstopmerking"/>
      </w:pPr>
      <w:r>
        <w:rPr>
          <w:rStyle w:val="Verwijzingopmerking"/>
        </w:rPr>
        <w:annotationRef/>
      </w:r>
      <w:r>
        <w:t xml:space="preserve">Link tussen processen wordt hier benoemd maar niet in procesplaat en ook niet in </w:t>
      </w:r>
      <w:r w:rsidR="009861F1">
        <w:t xml:space="preserve">de </w:t>
      </w:r>
      <w:r>
        <w:t xml:space="preserve">plaat in </w:t>
      </w:r>
      <w:r w:rsidR="009861F1">
        <w:t xml:space="preserve">het </w:t>
      </w:r>
      <w:r>
        <w:t>gen</w:t>
      </w:r>
      <w:r w:rsidR="009861F1">
        <w:t xml:space="preserve">erieke </w:t>
      </w:r>
      <w:r>
        <w:t xml:space="preserve"> </w:t>
      </w:r>
      <w:r w:rsidR="009861F1">
        <w:t>d</w:t>
      </w:r>
      <w:r>
        <w:t>eel die de samenhang tussen processen laat zien.</w:t>
      </w:r>
    </w:p>
    <w:p w14:paraId="35F99D24" w14:textId="77777777" w:rsidR="009D0B3D" w:rsidRDefault="009D0B3D">
      <w:pPr>
        <w:pStyle w:val="Tekstopmerking"/>
      </w:pPr>
    </w:p>
    <w:p w14:paraId="7F77AB4A" w14:textId="5C8895E6" w:rsidR="009D0B3D" w:rsidRDefault="009861F1">
      <w:pPr>
        <w:pStyle w:val="Tekstopmerking"/>
      </w:pPr>
      <w:r>
        <w:t xml:space="preserve">Moeten we dat daar toevoegen? </w:t>
      </w:r>
      <w:r w:rsidR="009D0B3D">
        <w:t>Of gaat het hier om de functie ‘public</w:t>
      </w:r>
      <w:r>
        <w:t>atie</w:t>
      </w:r>
      <w:r w:rsidR="009D0B3D">
        <w:t>’ en niet om het proces ‘migreren’?</w:t>
      </w:r>
    </w:p>
  </w:comment>
  <w:comment w:id="1" w:author="Reijden, Wout van der" w:date="2023-08-28T15:20:00Z" w:initials="RWvd">
    <w:p w14:paraId="7727A828" w14:textId="77777777" w:rsidR="00D33D66" w:rsidRDefault="00D33D66" w:rsidP="00D33D66">
      <w:pPr>
        <w:pStyle w:val="Tekstopmerking"/>
        <w:numPr>
          <w:ilvl w:val="0"/>
          <w:numId w:val="32"/>
        </w:numPr>
      </w:pPr>
      <w:r>
        <w:rPr>
          <w:rStyle w:val="Verwijzingopmerking"/>
        </w:rPr>
        <w:annotationRef/>
      </w:r>
      <w:r>
        <w:t>Toevoegen: ja</w:t>
      </w:r>
    </w:p>
    <w:p w14:paraId="7A0D6BA6" w14:textId="30B259B5" w:rsidR="00D33D66" w:rsidRDefault="00D33D66" w:rsidP="00D33D66">
      <w:pPr>
        <w:pStyle w:val="Tekstopmerking"/>
        <w:numPr>
          <w:ilvl w:val="0"/>
          <w:numId w:val="32"/>
        </w:numPr>
      </w:pPr>
      <w:r>
        <w:t xml:space="preserve">Het gaat om het proces migreren. Publicatie houdt niet per se fysieke verplaatsing in, migratie de facto wel </w:t>
      </w:r>
    </w:p>
  </w:comment>
  <w:comment w:id="2" w:author="Reijden, Wout van der" w:date="2023-08-28T15:37:00Z" w:initials="RWvd">
    <w:p w14:paraId="01F81DBC" w14:textId="4636F3CD" w:rsidR="00FA7ABA" w:rsidRDefault="00FA7ABA">
      <w:pPr>
        <w:pStyle w:val="Tekstopmerking"/>
      </w:pPr>
      <w:r>
        <w:rPr>
          <w:rStyle w:val="Verwijzingopmerking"/>
        </w:rPr>
        <w:annotationRef/>
      </w:r>
      <w:r>
        <w:rPr>
          <w:rStyle w:val="Verwijzingopmerking"/>
        </w:rPr>
        <w:t>Ik kan hier zo snel geen verwijzing naar vinden?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77AB4A" w15:done="0"/>
  <w15:commentEx w15:paraId="7A0D6BA6" w15:paraIdParent="7F77AB4A" w15:done="0"/>
  <w15:commentEx w15:paraId="01F81D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040A" w16cex:dateUtc="2023-08-28T09:31:00Z"/>
  <w16cex:commentExtensible w16cex:durableId="289739D4" w16cex:dateUtc="2023-08-28T13:20:00Z"/>
  <w16cex:commentExtensible w16cex:durableId="28973DCB" w16cex:dateUtc="2023-08-28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7AB4A" w16cid:durableId="2897040A"/>
  <w16cid:commentId w16cid:paraId="7A0D6BA6" w16cid:durableId="289739D4"/>
  <w16cid:commentId w16cid:paraId="01F81DBC" w16cid:durableId="28973D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1943" w14:textId="77777777" w:rsidR="00DD4741" w:rsidRDefault="00DD4741" w:rsidP="00DD4741">
      <w:pPr>
        <w:spacing w:after="0" w:line="240" w:lineRule="auto"/>
      </w:pPr>
      <w:r>
        <w:separator/>
      </w:r>
    </w:p>
  </w:endnote>
  <w:endnote w:type="continuationSeparator" w:id="0">
    <w:p w14:paraId="0B9D5250" w14:textId="77777777" w:rsidR="00DD4741" w:rsidRDefault="00DD4741" w:rsidP="00DD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7A6E8" w14:textId="77777777" w:rsidR="00DD4741" w:rsidRDefault="00DD4741" w:rsidP="00DD4741">
      <w:pPr>
        <w:spacing w:after="0" w:line="240" w:lineRule="auto"/>
      </w:pPr>
      <w:r>
        <w:separator/>
      </w:r>
    </w:p>
  </w:footnote>
  <w:footnote w:type="continuationSeparator" w:id="0">
    <w:p w14:paraId="50A83F36" w14:textId="77777777" w:rsidR="00DD4741" w:rsidRDefault="00DD4741" w:rsidP="00DD4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DEC"/>
    <w:multiLevelType w:val="hybridMultilevel"/>
    <w:tmpl w:val="49025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9C3BCF"/>
    <w:multiLevelType w:val="hybridMultilevel"/>
    <w:tmpl w:val="58A2A18A"/>
    <w:lvl w:ilvl="0" w:tplc="3740DBA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705DCD"/>
    <w:multiLevelType w:val="hybridMultilevel"/>
    <w:tmpl w:val="2FD43F14"/>
    <w:lvl w:ilvl="0" w:tplc="5E38F6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AE290C"/>
    <w:multiLevelType w:val="hybridMultilevel"/>
    <w:tmpl w:val="C7E8B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5B217F"/>
    <w:multiLevelType w:val="hybridMultilevel"/>
    <w:tmpl w:val="77B83FDA"/>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24574D"/>
    <w:multiLevelType w:val="hybridMultilevel"/>
    <w:tmpl w:val="BF3AB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B95196"/>
    <w:multiLevelType w:val="hybridMultilevel"/>
    <w:tmpl w:val="303A7906"/>
    <w:lvl w:ilvl="0" w:tplc="0A2CA3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542018"/>
    <w:multiLevelType w:val="hybridMultilevel"/>
    <w:tmpl w:val="5D3E6C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08163D"/>
    <w:multiLevelType w:val="hybridMultilevel"/>
    <w:tmpl w:val="C80E6350"/>
    <w:lvl w:ilvl="0" w:tplc="897618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8877FC"/>
    <w:multiLevelType w:val="hybridMultilevel"/>
    <w:tmpl w:val="8DC8C7D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D9647C"/>
    <w:multiLevelType w:val="hybridMultilevel"/>
    <w:tmpl w:val="A8428FA6"/>
    <w:lvl w:ilvl="0" w:tplc="3A041C8C">
      <w:numFmt w:val="bullet"/>
      <w:lvlText w:val="-"/>
      <w:lvlJc w:val="left"/>
      <w:pPr>
        <w:ind w:left="1413" w:hanging="705"/>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14B4398"/>
    <w:multiLevelType w:val="hybridMultilevel"/>
    <w:tmpl w:val="667E8C54"/>
    <w:lvl w:ilvl="0" w:tplc="C3A6546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4252F4C"/>
    <w:multiLevelType w:val="hybridMultilevel"/>
    <w:tmpl w:val="6B5C24A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C64D2B"/>
    <w:multiLevelType w:val="hybridMultilevel"/>
    <w:tmpl w:val="630A119C"/>
    <w:lvl w:ilvl="0" w:tplc="64DCC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BA5B6C"/>
    <w:multiLevelType w:val="hybridMultilevel"/>
    <w:tmpl w:val="2B023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C4692B"/>
    <w:multiLevelType w:val="hybridMultilevel"/>
    <w:tmpl w:val="CFD470F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91A3617"/>
    <w:multiLevelType w:val="hybridMultilevel"/>
    <w:tmpl w:val="28EE97B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9E23722"/>
    <w:multiLevelType w:val="hybridMultilevel"/>
    <w:tmpl w:val="AA4E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77A50"/>
    <w:multiLevelType w:val="hybridMultilevel"/>
    <w:tmpl w:val="E01AE7B8"/>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33E3288"/>
    <w:multiLevelType w:val="hybridMultilevel"/>
    <w:tmpl w:val="85187DFC"/>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4F6397B"/>
    <w:multiLevelType w:val="hybridMultilevel"/>
    <w:tmpl w:val="A99437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EE0BC6"/>
    <w:multiLevelType w:val="hybridMultilevel"/>
    <w:tmpl w:val="A1DE424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89E658F"/>
    <w:multiLevelType w:val="hybridMultilevel"/>
    <w:tmpl w:val="ECFAB0B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E07046A"/>
    <w:multiLevelType w:val="hybridMultilevel"/>
    <w:tmpl w:val="2524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96CC4"/>
    <w:multiLevelType w:val="hybridMultilevel"/>
    <w:tmpl w:val="D0061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D76B80"/>
    <w:multiLevelType w:val="hybridMultilevel"/>
    <w:tmpl w:val="681A4F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99B366E"/>
    <w:multiLevelType w:val="hybridMultilevel"/>
    <w:tmpl w:val="FDA8BA2E"/>
    <w:lvl w:ilvl="0" w:tplc="BE7C4D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B2E029E"/>
    <w:multiLevelType w:val="hybridMultilevel"/>
    <w:tmpl w:val="35009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ECE18FD"/>
    <w:multiLevelType w:val="hybridMultilevel"/>
    <w:tmpl w:val="315AB642"/>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38039FF"/>
    <w:multiLevelType w:val="hybridMultilevel"/>
    <w:tmpl w:val="759C7E02"/>
    <w:lvl w:ilvl="0" w:tplc="3A041C8C">
      <w:numFmt w:val="bullet"/>
      <w:lvlText w:val="-"/>
      <w:lvlJc w:val="left"/>
      <w:pPr>
        <w:ind w:left="1410"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AE7408A"/>
    <w:multiLevelType w:val="hybridMultilevel"/>
    <w:tmpl w:val="6DE2EFC0"/>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C4C4B59"/>
    <w:multiLevelType w:val="hybridMultilevel"/>
    <w:tmpl w:val="BF5EFC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7401350">
    <w:abstractNumId w:val="26"/>
  </w:num>
  <w:num w:numId="2" w16cid:durableId="693190056">
    <w:abstractNumId w:val="11"/>
  </w:num>
  <w:num w:numId="3" w16cid:durableId="2108847726">
    <w:abstractNumId w:val="4"/>
  </w:num>
  <w:num w:numId="4" w16cid:durableId="1326516923">
    <w:abstractNumId w:val="10"/>
  </w:num>
  <w:num w:numId="5" w16cid:durableId="1696492333">
    <w:abstractNumId w:val="29"/>
  </w:num>
  <w:num w:numId="6" w16cid:durableId="1250314392">
    <w:abstractNumId w:val="1"/>
  </w:num>
  <w:num w:numId="7" w16cid:durableId="1495998845">
    <w:abstractNumId w:val="2"/>
  </w:num>
  <w:num w:numId="8" w16cid:durableId="595137129">
    <w:abstractNumId w:val="8"/>
  </w:num>
  <w:num w:numId="9" w16cid:durableId="1866366011">
    <w:abstractNumId w:val="30"/>
  </w:num>
  <w:num w:numId="10" w16cid:durableId="1532182352">
    <w:abstractNumId w:val="27"/>
  </w:num>
  <w:num w:numId="11" w16cid:durableId="1108696543">
    <w:abstractNumId w:val="15"/>
  </w:num>
  <w:num w:numId="12" w16cid:durableId="301540056">
    <w:abstractNumId w:val="9"/>
  </w:num>
  <w:num w:numId="13" w16cid:durableId="992027842">
    <w:abstractNumId w:val="22"/>
  </w:num>
  <w:num w:numId="14" w16cid:durableId="2324443">
    <w:abstractNumId w:val="12"/>
  </w:num>
  <w:num w:numId="15" w16cid:durableId="1723090169">
    <w:abstractNumId w:val="13"/>
  </w:num>
  <w:num w:numId="16" w16cid:durableId="2077163805">
    <w:abstractNumId w:val="6"/>
  </w:num>
  <w:num w:numId="17" w16cid:durableId="1250236805">
    <w:abstractNumId w:val="19"/>
  </w:num>
  <w:num w:numId="18" w16cid:durableId="700863116">
    <w:abstractNumId w:val="0"/>
  </w:num>
  <w:num w:numId="19" w16cid:durableId="185600248">
    <w:abstractNumId w:val="21"/>
  </w:num>
  <w:num w:numId="20" w16cid:durableId="664820647">
    <w:abstractNumId w:val="5"/>
  </w:num>
  <w:num w:numId="21" w16cid:durableId="30111122">
    <w:abstractNumId w:val="3"/>
  </w:num>
  <w:num w:numId="22" w16cid:durableId="1694189500">
    <w:abstractNumId w:val="24"/>
  </w:num>
  <w:num w:numId="23" w16cid:durableId="789133373">
    <w:abstractNumId w:val="16"/>
  </w:num>
  <w:num w:numId="24" w16cid:durableId="618729256">
    <w:abstractNumId w:val="28"/>
  </w:num>
  <w:num w:numId="25" w16cid:durableId="1973755384">
    <w:abstractNumId w:val="31"/>
  </w:num>
  <w:num w:numId="26" w16cid:durableId="1456480695">
    <w:abstractNumId w:val="18"/>
  </w:num>
  <w:num w:numId="27" w16cid:durableId="1744063775">
    <w:abstractNumId w:val="14"/>
  </w:num>
  <w:num w:numId="28" w16cid:durableId="1820999925">
    <w:abstractNumId w:val="25"/>
  </w:num>
  <w:num w:numId="29" w16cid:durableId="13389760">
    <w:abstractNumId w:val="23"/>
  </w:num>
  <w:num w:numId="30" w16cid:durableId="1371761788">
    <w:abstractNumId w:val="17"/>
  </w:num>
  <w:num w:numId="31" w16cid:durableId="686641614">
    <w:abstractNumId w:val="20"/>
  </w:num>
  <w:num w:numId="32" w16cid:durableId="15971314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Vincent">
    <w15:presenceInfo w15:providerId="AD" w15:userId="S::vincent.post@nationaalarchief.nl::0507b7e8-e74b-4021-b607-be730be5072d"/>
  </w15:person>
  <w15:person w15:author="Reijden, Wout van der">
    <w15:presenceInfo w15:providerId="AD" w15:userId="S::Wout.van.der.Reijden@nationaalarchief.nl::afd547aa-53c7-4f67-ade4-c67fb35d54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95"/>
    <w:rsid w:val="000042BB"/>
    <w:rsid w:val="00006C96"/>
    <w:rsid w:val="000134B0"/>
    <w:rsid w:val="00016593"/>
    <w:rsid w:val="00017BC1"/>
    <w:rsid w:val="00025BC8"/>
    <w:rsid w:val="00025F88"/>
    <w:rsid w:val="00030DA6"/>
    <w:rsid w:val="0003761A"/>
    <w:rsid w:val="00064366"/>
    <w:rsid w:val="0008197C"/>
    <w:rsid w:val="0008209A"/>
    <w:rsid w:val="000833C1"/>
    <w:rsid w:val="000838CF"/>
    <w:rsid w:val="0008649C"/>
    <w:rsid w:val="00090C2A"/>
    <w:rsid w:val="0009625A"/>
    <w:rsid w:val="000A6B82"/>
    <w:rsid w:val="000A717D"/>
    <w:rsid w:val="000B1965"/>
    <w:rsid w:val="000B487B"/>
    <w:rsid w:val="000B63E7"/>
    <w:rsid w:val="000C5FF0"/>
    <w:rsid w:val="000C630E"/>
    <w:rsid w:val="000C6A4A"/>
    <w:rsid w:val="000E2AA2"/>
    <w:rsid w:val="000E305C"/>
    <w:rsid w:val="000F2A2B"/>
    <w:rsid w:val="000F5ED3"/>
    <w:rsid w:val="00104393"/>
    <w:rsid w:val="001126CF"/>
    <w:rsid w:val="00117A61"/>
    <w:rsid w:val="00122435"/>
    <w:rsid w:val="00122FE9"/>
    <w:rsid w:val="00125954"/>
    <w:rsid w:val="00125D5A"/>
    <w:rsid w:val="0013231C"/>
    <w:rsid w:val="001375B8"/>
    <w:rsid w:val="00150095"/>
    <w:rsid w:val="001527D6"/>
    <w:rsid w:val="0016480D"/>
    <w:rsid w:val="00173B66"/>
    <w:rsid w:val="00180F93"/>
    <w:rsid w:val="0019163F"/>
    <w:rsid w:val="00192555"/>
    <w:rsid w:val="00195025"/>
    <w:rsid w:val="001A1501"/>
    <w:rsid w:val="001A5F76"/>
    <w:rsid w:val="001B0311"/>
    <w:rsid w:val="001B70B2"/>
    <w:rsid w:val="001C1CA5"/>
    <w:rsid w:val="001C20D4"/>
    <w:rsid w:val="001C3CFA"/>
    <w:rsid w:val="001C4533"/>
    <w:rsid w:val="001C7D06"/>
    <w:rsid w:val="001D0474"/>
    <w:rsid w:val="001E0A43"/>
    <w:rsid w:val="001E5688"/>
    <w:rsid w:val="001E771D"/>
    <w:rsid w:val="001F4100"/>
    <w:rsid w:val="001F4B4A"/>
    <w:rsid w:val="00201DD0"/>
    <w:rsid w:val="0020790B"/>
    <w:rsid w:val="002102E5"/>
    <w:rsid w:val="00212FFB"/>
    <w:rsid w:val="00214A97"/>
    <w:rsid w:val="00220616"/>
    <w:rsid w:val="002239D3"/>
    <w:rsid w:val="00227540"/>
    <w:rsid w:val="002411EE"/>
    <w:rsid w:val="0024443F"/>
    <w:rsid w:val="00247161"/>
    <w:rsid w:val="00247662"/>
    <w:rsid w:val="00255C48"/>
    <w:rsid w:val="002670AE"/>
    <w:rsid w:val="00270322"/>
    <w:rsid w:val="002807B6"/>
    <w:rsid w:val="0028581D"/>
    <w:rsid w:val="002907DD"/>
    <w:rsid w:val="002A10E3"/>
    <w:rsid w:val="002A418F"/>
    <w:rsid w:val="002A7D53"/>
    <w:rsid w:val="002B67C3"/>
    <w:rsid w:val="002C41B6"/>
    <w:rsid w:val="002C72EF"/>
    <w:rsid w:val="002D0A98"/>
    <w:rsid w:val="002D1244"/>
    <w:rsid w:val="002D1E12"/>
    <w:rsid w:val="002D334A"/>
    <w:rsid w:val="002D5739"/>
    <w:rsid w:val="002E1DB8"/>
    <w:rsid w:val="002E3021"/>
    <w:rsid w:val="002E3BDF"/>
    <w:rsid w:val="002F4792"/>
    <w:rsid w:val="002F78DD"/>
    <w:rsid w:val="00302AB2"/>
    <w:rsid w:val="003068A1"/>
    <w:rsid w:val="00307E97"/>
    <w:rsid w:val="00313F9D"/>
    <w:rsid w:val="00323996"/>
    <w:rsid w:val="003329E5"/>
    <w:rsid w:val="0033392E"/>
    <w:rsid w:val="00345D1B"/>
    <w:rsid w:val="00352E48"/>
    <w:rsid w:val="00353E69"/>
    <w:rsid w:val="0036073F"/>
    <w:rsid w:val="003618E7"/>
    <w:rsid w:val="00362908"/>
    <w:rsid w:val="00370EE2"/>
    <w:rsid w:val="00377BED"/>
    <w:rsid w:val="00395F1B"/>
    <w:rsid w:val="0039751A"/>
    <w:rsid w:val="003A3683"/>
    <w:rsid w:val="003A3CBE"/>
    <w:rsid w:val="003A4F83"/>
    <w:rsid w:val="003B0D25"/>
    <w:rsid w:val="003B4DEC"/>
    <w:rsid w:val="003B690D"/>
    <w:rsid w:val="003C0B1A"/>
    <w:rsid w:val="003C21CC"/>
    <w:rsid w:val="003E0939"/>
    <w:rsid w:val="003E16ED"/>
    <w:rsid w:val="003F2D78"/>
    <w:rsid w:val="003F7789"/>
    <w:rsid w:val="004015C9"/>
    <w:rsid w:val="004052EA"/>
    <w:rsid w:val="00406306"/>
    <w:rsid w:val="004100C9"/>
    <w:rsid w:val="0041737B"/>
    <w:rsid w:val="004260CF"/>
    <w:rsid w:val="00435D24"/>
    <w:rsid w:val="00440C9B"/>
    <w:rsid w:val="004453F2"/>
    <w:rsid w:val="00453058"/>
    <w:rsid w:val="00461A36"/>
    <w:rsid w:val="004732B9"/>
    <w:rsid w:val="00477799"/>
    <w:rsid w:val="004838F8"/>
    <w:rsid w:val="00485066"/>
    <w:rsid w:val="004860A7"/>
    <w:rsid w:val="004A718A"/>
    <w:rsid w:val="004B5DE4"/>
    <w:rsid w:val="004B7530"/>
    <w:rsid w:val="004C09C8"/>
    <w:rsid w:val="004C1FEE"/>
    <w:rsid w:val="004C2C45"/>
    <w:rsid w:val="004C5160"/>
    <w:rsid w:val="004C70B2"/>
    <w:rsid w:val="004D67B8"/>
    <w:rsid w:val="004D6CDE"/>
    <w:rsid w:val="004E1A95"/>
    <w:rsid w:val="004E6621"/>
    <w:rsid w:val="004E704D"/>
    <w:rsid w:val="004E7783"/>
    <w:rsid w:val="004F62A8"/>
    <w:rsid w:val="00502634"/>
    <w:rsid w:val="005035A5"/>
    <w:rsid w:val="00506B38"/>
    <w:rsid w:val="005129B9"/>
    <w:rsid w:val="00512F3B"/>
    <w:rsid w:val="00530EDA"/>
    <w:rsid w:val="00531EB2"/>
    <w:rsid w:val="00534CB8"/>
    <w:rsid w:val="00535B20"/>
    <w:rsid w:val="005360CE"/>
    <w:rsid w:val="00536E7D"/>
    <w:rsid w:val="005408DA"/>
    <w:rsid w:val="00543FB5"/>
    <w:rsid w:val="00547DF6"/>
    <w:rsid w:val="00550C77"/>
    <w:rsid w:val="00551488"/>
    <w:rsid w:val="0055502F"/>
    <w:rsid w:val="005554A8"/>
    <w:rsid w:val="0055739C"/>
    <w:rsid w:val="005636FA"/>
    <w:rsid w:val="005744E4"/>
    <w:rsid w:val="00574CFE"/>
    <w:rsid w:val="0057788E"/>
    <w:rsid w:val="0058280F"/>
    <w:rsid w:val="005862E0"/>
    <w:rsid w:val="0059201A"/>
    <w:rsid w:val="0059308D"/>
    <w:rsid w:val="005A3B67"/>
    <w:rsid w:val="005A7A7B"/>
    <w:rsid w:val="005B48DA"/>
    <w:rsid w:val="005B7D6B"/>
    <w:rsid w:val="005C5B94"/>
    <w:rsid w:val="005C7D9D"/>
    <w:rsid w:val="005D6EC4"/>
    <w:rsid w:val="005E1C13"/>
    <w:rsid w:val="005E7330"/>
    <w:rsid w:val="005F1451"/>
    <w:rsid w:val="00606F0A"/>
    <w:rsid w:val="00610B38"/>
    <w:rsid w:val="0061354B"/>
    <w:rsid w:val="00622CAB"/>
    <w:rsid w:val="00625D13"/>
    <w:rsid w:val="00634648"/>
    <w:rsid w:val="006349F2"/>
    <w:rsid w:val="0063724E"/>
    <w:rsid w:val="00642A4D"/>
    <w:rsid w:val="00642D99"/>
    <w:rsid w:val="00650013"/>
    <w:rsid w:val="00654027"/>
    <w:rsid w:val="00654E41"/>
    <w:rsid w:val="00656EF1"/>
    <w:rsid w:val="006618BF"/>
    <w:rsid w:val="0066388F"/>
    <w:rsid w:val="00663E4C"/>
    <w:rsid w:val="00672053"/>
    <w:rsid w:val="0068096F"/>
    <w:rsid w:val="00696ABA"/>
    <w:rsid w:val="00697A6E"/>
    <w:rsid w:val="006A0386"/>
    <w:rsid w:val="006B047F"/>
    <w:rsid w:val="006B3CEA"/>
    <w:rsid w:val="006B68D9"/>
    <w:rsid w:val="006B68F2"/>
    <w:rsid w:val="006B7C14"/>
    <w:rsid w:val="006C45F9"/>
    <w:rsid w:val="006C560C"/>
    <w:rsid w:val="006E0262"/>
    <w:rsid w:val="006E43B5"/>
    <w:rsid w:val="006E4F0A"/>
    <w:rsid w:val="006F0FF4"/>
    <w:rsid w:val="006F3A88"/>
    <w:rsid w:val="006F5272"/>
    <w:rsid w:val="006F55AB"/>
    <w:rsid w:val="00702849"/>
    <w:rsid w:val="007063C9"/>
    <w:rsid w:val="0071052E"/>
    <w:rsid w:val="00711C57"/>
    <w:rsid w:val="00725078"/>
    <w:rsid w:val="007312E9"/>
    <w:rsid w:val="007348CE"/>
    <w:rsid w:val="00747ED3"/>
    <w:rsid w:val="00766789"/>
    <w:rsid w:val="00767EC5"/>
    <w:rsid w:val="00772C0C"/>
    <w:rsid w:val="0077484C"/>
    <w:rsid w:val="00787ACC"/>
    <w:rsid w:val="007905E1"/>
    <w:rsid w:val="00791FA3"/>
    <w:rsid w:val="007A0A90"/>
    <w:rsid w:val="007A7746"/>
    <w:rsid w:val="007C5C32"/>
    <w:rsid w:val="007D0741"/>
    <w:rsid w:val="007D290F"/>
    <w:rsid w:val="007D3F2A"/>
    <w:rsid w:val="007E1D3A"/>
    <w:rsid w:val="007E1EB3"/>
    <w:rsid w:val="007E35C8"/>
    <w:rsid w:val="007E7264"/>
    <w:rsid w:val="007F186C"/>
    <w:rsid w:val="007F43AC"/>
    <w:rsid w:val="00812E02"/>
    <w:rsid w:val="00822CA2"/>
    <w:rsid w:val="00832C10"/>
    <w:rsid w:val="00844E73"/>
    <w:rsid w:val="0084547B"/>
    <w:rsid w:val="00845CE7"/>
    <w:rsid w:val="00847E62"/>
    <w:rsid w:val="00853094"/>
    <w:rsid w:val="008538BC"/>
    <w:rsid w:val="00863F43"/>
    <w:rsid w:val="008676CD"/>
    <w:rsid w:val="00867938"/>
    <w:rsid w:val="0087017B"/>
    <w:rsid w:val="008708C2"/>
    <w:rsid w:val="0087094F"/>
    <w:rsid w:val="00871DCB"/>
    <w:rsid w:val="0087497A"/>
    <w:rsid w:val="008759A6"/>
    <w:rsid w:val="0088525D"/>
    <w:rsid w:val="008A19B1"/>
    <w:rsid w:val="008A2DF5"/>
    <w:rsid w:val="008A7C43"/>
    <w:rsid w:val="008B213D"/>
    <w:rsid w:val="008B4D77"/>
    <w:rsid w:val="008C14AD"/>
    <w:rsid w:val="008D2FB4"/>
    <w:rsid w:val="008D7129"/>
    <w:rsid w:val="008E5BC5"/>
    <w:rsid w:val="008E7CCE"/>
    <w:rsid w:val="008F22C6"/>
    <w:rsid w:val="008F443C"/>
    <w:rsid w:val="008F53B0"/>
    <w:rsid w:val="009010F8"/>
    <w:rsid w:val="0090797A"/>
    <w:rsid w:val="00914897"/>
    <w:rsid w:val="00925BD4"/>
    <w:rsid w:val="00940E65"/>
    <w:rsid w:val="0094628E"/>
    <w:rsid w:val="009462CA"/>
    <w:rsid w:val="00951982"/>
    <w:rsid w:val="0095259B"/>
    <w:rsid w:val="00952B20"/>
    <w:rsid w:val="00960C9C"/>
    <w:rsid w:val="00965F8C"/>
    <w:rsid w:val="00966138"/>
    <w:rsid w:val="00977BD7"/>
    <w:rsid w:val="009857A3"/>
    <w:rsid w:val="009861F1"/>
    <w:rsid w:val="009868B4"/>
    <w:rsid w:val="00990FEE"/>
    <w:rsid w:val="00997EB6"/>
    <w:rsid w:val="009A0D57"/>
    <w:rsid w:val="009A2796"/>
    <w:rsid w:val="009A3DD7"/>
    <w:rsid w:val="009A6666"/>
    <w:rsid w:val="009A6E9F"/>
    <w:rsid w:val="009B58D9"/>
    <w:rsid w:val="009B5D0B"/>
    <w:rsid w:val="009C0F81"/>
    <w:rsid w:val="009C4F43"/>
    <w:rsid w:val="009C54A5"/>
    <w:rsid w:val="009D04CA"/>
    <w:rsid w:val="009D0B3D"/>
    <w:rsid w:val="009E1659"/>
    <w:rsid w:val="009E2189"/>
    <w:rsid w:val="009E2785"/>
    <w:rsid w:val="009E2FE4"/>
    <w:rsid w:val="009F64D1"/>
    <w:rsid w:val="009F703B"/>
    <w:rsid w:val="009F7F72"/>
    <w:rsid w:val="00A00935"/>
    <w:rsid w:val="00A027C7"/>
    <w:rsid w:val="00A07C2C"/>
    <w:rsid w:val="00A07F14"/>
    <w:rsid w:val="00A12088"/>
    <w:rsid w:val="00A21AA8"/>
    <w:rsid w:val="00A26925"/>
    <w:rsid w:val="00A33024"/>
    <w:rsid w:val="00A33683"/>
    <w:rsid w:val="00A5110A"/>
    <w:rsid w:val="00A53A5D"/>
    <w:rsid w:val="00A55127"/>
    <w:rsid w:val="00A67FA5"/>
    <w:rsid w:val="00A70524"/>
    <w:rsid w:val="00A7190C"/>
    <w:rsid w:val="00A74F74"/>
    <w:rsid w:val="00A759DE"/>
    <w:rsid w:val="00A85ACD"/>
    <w:rsid w:val="00A92558"/>
    <w:rsid w:val="00A95F4D"/>
    <w:rsid w:val="00AA18CF"/>
    <w:rsid w:val="00AA25E0"/>
    <w:rsid w:val="00AA2929"/>
    <w:rsid w:val="00AA3AEB"/>
    <w:rsid w:val="00AA7598"/>
    <w:rsid w:val="00AB0DB7"/>
    <w:rsid w:val="00AC3AF9"/>
    <w:rsid w:val="00AC4752"/>
    <w:rsid w:val="00AC7ADA"/>
    <w:rsid w:val="00AD11DB"/>
    <w:rsid w:val="00AD3850"/>
    <w:rsid w:val="00AD41A1"/>
    <w:rsid w:val="00AD5E48"/>
    <w:rsid w:val="00AE1DB7"/>
    <w:rsid w:val="00AE3163"/>
    <w:rsid w:val="00AF5B16"/>
    <w:rsid w:val="00AF7FA2"/>
    <w:rsid w:val="00B00254"/>
    <w:rsid w:val="00B00969"/>
    <w:rsid w:val="00B05454"/>
    <w:rsid w:val="00B11C65"/>
    <w:rsid w:val="00B126A5"/>
    <w:rsid w:val="00B1350D"/>
    <w:rsid w:val="00B2159E"/>
    <w:rsid w:val="00B21C27"/>
    <w:rsid w:val="00B231A6"/>
    <w:rsid w:val="00B23320"/>
    <w:rsid w:val="00B26286"/>
    <w:rsid w:val="00B26910"/>
    <w:rsid w:val="00B402F2"/>
    <w:rsid w:val="00B432E6"/>
    <w:rsid w:val="00B43950"/>
    <w:rsid w:val="00B47B75"/>
    <w:rsid w:val="00B608AF"/>
    <w:rsid w:val="00B63BCB"/>
    <w:rsid w:val="00B63E9D"/>
    <w:rsid w:val="00B64908"/>
    <w:rsid w:val="00B67112"/>
    <w:rsid w:val="00B7342C"/>
    <w:rsid w:val="00B76A1B"/>
    <w:rsid w:val="00B800AE"/>
    <w:rsid w:val="00B848EF"/>
    <w:rsid w:val="00B91691"/>
    <w:rsid w:val="00B97063"/>
    <w:rsid w:val="00BA0F31"/>
    <w:rsid w:val="00BA3154"/>
    <w:rsid w:val="00BA5E17"/>
    <w:rsid w:val="00BB71DA"/>
    <w:rsid w:val="00BC5F1F"/>
    <w:rsid w:val="00BD1DD9"/>
    <w:rsid w:val="00BD3DAF"/>
    <w:rsid w:val="00BD5BBA"/>
    <w:rsid w:val="00BE53CE"/>
    <w:rsid w:val="00BF3727"/>
    <w:rsid w:val="00BF5083"/>
    <w:rsid w:val="00C030F2"/>
    <w:rsid w:val="00C053F3"/>
    <w:rsid w:val="00C121DD"/>
    <w:rsid w:val="00C13DE6"/>
    <w:rsid w:val="00C21B2D"/>
    <w:rsid w:val="00C26BE0"/>
    <w:rsid w:val="00C3519F"/>
    <w:rsid w:val="00C42656"/>
    <w:rsid w:val="00C435C7"/>
    <w:rsid w:val="00C43C3F"/>
    <w:rsid w:val="00C57695"/>
    <w:rsid w:val="00C67A58"/>
    <w:rsid w:val="00C74249"/>
    <w:rsid w:val="00C75D23"/>
    <w:rsid w:val="00C769C5"/>
    <w:rsid w:val="00C76C6F"/>
    <w:rsid w:val="00C80DA6"/>
    <w:rsid w:val="00C828F2"/>
    <w:rsid w:val="00C83D38"/>
    <w:rsid w:val="00C84591"/>
    <w:rsid w:val="00C85488"/>
    <w:rsid w:val="00C874E6"/>
    <w:rsid w:val="00C95AA7"/>
    <w:rsid w:val="00CA231A"/>
    <w:rsid w:val="00CA3733"/>
    <w:rsid w:val="00CA379F"/>
    <w:rsid w:val="00CA456F"/>
    <w:rsid w:val="00CA5E79"/>
    <w:rsid w:val="00CA5F75"/>
    <w:rsid w:val="00CB0343"/>
    <w:rsid w:val="00CB0657"/>
    <w:rsid w:val="00CB2493"/>
    <w:rsid w:val="00CB25A0"/>
    <w:rsid w:val="00CB2C98"/>
    <w:rsid w:val="00CC0819"/>
    <w:rsid w:val="00CC53EB"/>
    <w:rsid w:val="00CD03FD"/>
    <w:rsid w:val="00CD70CD"/>
    <w:rsid w:val="00CE2D02"/>
    <w:rsid w:val="00CE5712"/>
    <w:rsid w:val="00CE70F9"/>
    <w:rsid w:val="00CF1C8E"/>
    <w:rsid w:val="00CF35E3"/>
    <w:rsid w:val="00CF3855"/>
    <w:rsid w:val="00CF6D83"/>
    <w:rsid w:val="00D00D54"/>
    <w:rsid w:val="00D11801"/>
    <w:rsid w:val="00D12C23"/>
    <w:rsid w:val="00D176C6"/>
    <w:rsid w:val="00D318C0"/>
    <w:rsid w:val="00D33D66"/>
    <w:rsid w:val="00D3660F"/>
    <w:rsid w:val="00D475B5"/>
    <w:rsid w:val="00D62F5B"/>
    <w:rsid w:val="00D64250"/>
    <w:rsid w:val="00D70C27"/>
    <w:rsid w:val="00D73C78"/>
    <w:rsid w:val="00D812CA"/>
    <w:rsid w:val="00D818E4"/>
    <w:rsid w:val="00D82D91"/>
    <w:rsid w:val="00D837B8"/>
    <w:rsid w:val="00D83849"/>
    <w:rsid w:val="00D87F30"/>
    <w:rsid w:val="00D918A9"/>
    <w:rsid w:val="00D9416E"/>
    <w:rsid w:val="00D9421C"/>
    <w:rsid w:val="00DB09E2"/>
    <w:rsid w:val="00DC4B36"/>
    <w:rsid w:val="00DD147D"/>
    <w:rsid w:val="00DD4741"/>
    <w:rsid w:val="00DE106C"/>
    <w:rsid w:val="00DE161D"/>
    <w:rsid w:val="00DE4AA4"/>
    <w:rsid w:val="00DE59FB"/>
    <w:rsid w:val="00DF0D60"/>
    <w:rsid w:val="00DF2FCB"/>
    <w:rsid w:val="00DF4C3A"/>
    <w:rsid w:val="00E011FF"/>
    <w:rsid w:val="00E1291B"/>
    <w:rsid w:val="00E129C3"/>
    <w:rsid w:val="00E13509"/>
    <w:rsid w:val="00E14C3F"/>
    <w:rsid w:val="00E20F1C"/>
    <w:rsid w:val="00E43DA9"/>
    <w:rsid w:val="00E46BE1"/>
    <w:rsid w:val="00E47243"/>
    <w:rsid w:val="00E503F2"/>
    <w:rsid w:val="00E52697"/>
    <w:rsid w:val="00E61EBA"/>
    <w:rsid w:val="00E814CD"/>
    <w:rsid w:val="00E85579"/>
    <w:rsid w:val="00E94D96"/>
    <w:rsid w:val="00E96261"/>
    <w:rsid w:val="00EB5A6D"/>
    <w:rsid w:val="00EB648A"/>
    <w:rsid w:val="00ED4E9B"/>
    <w:rsid w:val="00EE2142"/>
    <w:rsid w:val="00EE771D"/>
    <w:rsid w:val="00EF2DDE"/>
    <w:rsid w:val="00F102BB"/>
    <w:rsid w:val="00F124A1"/>
    <w:rsid w:val="00F16ED0"/>
    <w:rsid w:val="00F2396A"/>
    <w:rsid w:val="00F245DD"/>
    <w:rsid w:val="00F26429"/>
    <w:rsid w:val="00F26F5E"/>
    <w:rsid w:val="00F30FCD"/>
    <w:rsid w:val="00F508BF"/>
    <w:rsid w:val="00F55B15"/>
    <w:rsid w:val="00F56119"/>
    <w:rsid w:val="00F63F40"/>
    <w:rsid w:val="00F742BC"/>
    <w:rsid w:val="00F81F82"/>
    <w:rsid w:val="00F82096"/>
    <w:rsid w:val="00F92BD9"/>
    <w:rsid w:val="00FA0E9C"/>
    <w:rsid w:val="00FA3C41"/>
    <w:rsid w:val="00FA5137"/>
    <w:rsid w:val="00FA7ABA"/>
    <w:rsid w:val="00FB0317"/>
    <w:rsid w:val="00FB5A19"/>
    <w:rsid w:val="00FB60B7"/>
    <w:rsid w:val="00FC63D5"/>
    <w:rsid w:val="00FC7C20"/>
    <w:rsid w:val="00FE0521"/>
    <w:rsid w:val="00FE128F"/>
    <w:rsid w:val="00FF1061"/>
    <w:rsid w:val="00FF427D"/>
    <w:rsid w:val="00FF52C0"/>
    <w:rsid w:val="00FF7122"/>
    <w:rsid w:val="00FF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79EA"/>
  <w15:chartTrackingRefBased/>
  <w15:docId w15:val="{673BAE3C-E6FA-4DA0-B155-AAA5EE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23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3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A8"/>
    <w:pPr>
      <w:ind w:left="720"/>
      <w:contextualSpacing/>
    </w:pPr>
  </w:style>
  <w:style w:type="character" w:styleId="Hyperlink">
    <w:name w:val="Hyperlink"/>
    <w:basedOn w:val="Standaardalinea-lettertype"/>
    <w:uiPriority w:val="99"/>
    <w:unhideWhenUsed/>
    <w:rsid w:val="002670AE"/>
    <w:rPr>
      <w:color w:val="0563C1" w:themeColor="hyperlink"/>
      <w:u w:val="single"/>
    </w:rPr>
  </w:style>
  <w:style w:type="character" w:customStyle="1" w:styleId="Onopgelostemelding1">
    <w:name w:val="Onopgeloste melding1"/>
    <w:basedOn w:val="Standaardalinea-lettertype"/>
    <w:uiPriority w:val="99"/>
    <w:semiHidden/>
    <w:unhideWhenUsed/>
    <w:rsid w:val="002670AE"/>
    <w:rPr>
      <w:color w:val="605E5C"/>
      <w:shd w:val="clear" w:color="auto" w:fill="E1DFDD"/>
    </w:rPr>
  </w:style>
  <w:style w:type="character" w:styleId="GevolgdeHyperlink">
    <w:name w:val="FollowedHyperlink"/>
    <w:basedOn w:val="Standaardalinea-lettertype"/>
    <w:uiPriority w:val="99"/>
    <w:semiHidden/>
    <w:unhideWhenUsed/>
    <w:rsid w:val="00DF4C3A"/>
    <w:rPr>
      <w:color w:val="954F72" w:themeColor="followedHyperlink"/>
      <w:u w:val="single"/>
    </w:rPr>
  </w:style>
  <w:style w:type="table" w:styleId="Tabelraster">
    <w:name w:val="Table Grid"/>
    <w:basedOn w:val="Standaardtabel"/>
    <w:uiPriority w:val="39"/>
    <w:rsid w:val="002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00969"/>
    <w:rPr>
      <w:sz w:val="16"/>
      <w:szCs w:val="16"/>
    </w:rPr>
  </w:style>
  <w:style w:type="paragraph" w:styleId="Tekstopmerking">
    <w:name w:val="annotation text"/>
    <w:basedOn w:val="Standaard"/>
    <w:link w:val="TekstopmerkingChar"/>
    <w:uiPriority w:val="99"/>
    <w:unhideWhenUsed/>
    <w:rsid w:val="00B00969"/>
    <w:pPr>
      <w:spacing w:line="240" w:lineRule="auto"/>
    </w:pPr>
    <w:rPr>
      <w:sz w:val="20"/>
      <w:szCs w:val="20"/>
    </w:rPr>
  </w:style>
  <w:style w:type="character" w:customStyle="1" w:styleId="TekstopmerkingChar">
    <w:name w:val="Tekst opmerking Char"/>
    <w:basedOn w:val="Standaardalinea-lettertype"/>
    <w:link w:val="Tekstopmerking"/>
    <w:uiPriority w:val="99"/>
    <w:rsid w:val="00B00969"/>
    <w:rPr>
      <w:sz w:val="20"/>
      <w:szCs w:val="20"/>
    </w:rPr>
  </w:style>
  <w:style w:type="paragraph" w:styleId="Onderwerpvanopmerking">
    <w:name w:val="annotation subject"/>
    <w:basedOn w:val="Tekstopmerking"/>
    <w:next w:val="Tekstopmerking"/>
    <w:link w:val="OnderwerpvanopmerkingChar"/>
    <w:uiPriority w:val="99"/>
    <w:semiHidden/>
    <w:unhideWhenUsed/>
    <w:rsid w:val="00B00969"/>
    <w:rPr>
      <w:b/>
      <w:bCs/>
    </w:rPr>
  </w:style>
  <w:style w:type="character" w:customStyle="1" w:styleId="OnderwerpvanopmerkingChar">
    <w:name w:val="Onderwerp van opmerking Char"/>
    <w:basedOn w:val="TekstopmerkingChar"/>
    <w:link w:val="Onderwerpvanopmerking"/>
    <w:uiPriority w:val="99"/>
    <w:semiHidden/>
    <w:rsid w:val="00B00969"/>
    <w:rPr>
      <w:b/>
      <w:bCs/>
      <w:sz w:val="20"/>
      <w:szCs w:val="20"/>
    </w:rPr>
  </w:style>
  <w:style w:type="paragraph" w:styleId="Ballontekst">
    <w:name w:val="Balloon Text"/>
    <w:basedOn w:val="Standaard"/>
    <w:link w:val="BallontekstChar"/>
    <w:uiPriority w:val="99"/>
    <w:semiHidden/>
    <w:unhideWhenUsed/>
    <w:rsid w:val="009F7F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F72"/>
    <w:rPr>
      <w:rFonts w:ascii="Segoe UI" w:hAnsi="Segoe UI" w:cs="Segoe UI"/>
      <w:sz w:val="18"/>
      <w:szCs w:val="18"/>
    </w:rPr>
  </w:style>
  <w:style w:type="character" w:customStyle="1" w:styleId="Kop1Char">
    <w:name w:val="Kop 1 Char"/>
    <w:basedOn w:val="Standaardalinea-lettertype"/>
    <w:link w:val="Kop1"/>
    <w:uiPriority w:val="9"/>
    <w:rsid w:val="00F239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2396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396A"/>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353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E69"/>
    <w:rPr>
      <w:rFonts w:asciiTheme="majorHAnsi" w:eastAsiaTheme="majorEastAsia" w:hAnsiTheme="majorHAnsi" w:cstheme="majorBidi"/>
      <w:spacing w:val="-10"/>
      <w:kern w:val="28"/>
      <w:sz w:val="56"/>
      <w:szCs w:val="56"/>
    </w:rPr>
  </w:style>
  <w:style w:type="paragraph" w:styleId="Voetnoottekst">
    <w:name w:val="footnote text"/>
    <w:basedOn w:val="Standaard"/>
    <w:link w:val="VoetnoottekstChar"/>
    <w:uiPriority w:val="99"/>
    <w:semiHidden/>
    <w:unhideWhenUsed/>
    <w:rsid w:val="00DD474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D4741"/>
    <w:rPr>
      <w:sz w:val="20"/>
      <w:szCs w:val="20"/>
    </w:rPr>
  </w:style>
  <w:style w:type="character" w:styleId="Voetnootmarkering">
    <w:name w:val="footnote reference"/>
    <w:basedOn w:val="Standaardalinea-lettertype"/>
    <w:uiPriority w:val="99"/>
    <w:semiHidden/>
    <w:unhideWhenUsed/>
    <w:rsid w:val="00DD4741"/>
    <w:rPr>
      <w:vertAlign w:val="superscript"/>
    </w:rPr>
  </w:style>
  <w:style w:type="character" w:styleId="Onopgelostemelding">
    <w:name w:val="Unresolved Mention"/>
    <w:basedOn w:val="Standaardalinea-lettertype"/>
    <w:uiPriority w:val="99"/>
    <w:semiHidden/>
    <w:unhideWhenUsed/>
    <w:rsid w:val="0077484C"/>
    <w:rPr>
      <w:color w:val="605E5C"/>
      <w:shd w:val="clear" w:color="auto" w:fill="E1DFDD"/>
    </w:rPr>
  </w:style>
  <w:style w:type="paragraph" w:styleId="Revisie">
    <w:name w:val="Revision"/>
    <w:hidden/>
    <w:uiPriority w:val="99"/>
    <w:semiHidden/>
    <w:rsid w:val="004E7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535">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
    <w:div w:id="117263519">
      <w:bodyDiv w:val="1"/>
      <w:marLeft w:val="0"/>
      <w:marRight w:val="0"/>
      <w:marTop w:val="0"/>
      <w:marBottom w:val="0"/>
      <w:divBdr>
        <w:top w:val="none" w:sz="0" w:space="0" w:color="auto"/>
        <w:left w:val="none" w:sz="0" w:space="0" w:color="auto"/>
        <w:bottom w:val="none" w:sz="0" w:space="0" w:color="auto"/>
        <w:right w:val="none" w:sz="0" w:space="0" w:color="auto"/>
      </w:divBdr>
    </w:div>
    <w:div w:id="250239566">
      <w:bodyDiv w:val="1"/>
      <w:marLeft w:val="0"/>
      <w:marRight w:val="0"/>
      <w:marTop w:val="0"/>
      <w:marBottom w:val="0"/>
      <w:divBdr>
        <w:top w:val="none" w:sz="0" w:space="0" w:color="auto"/>
        <w:left w:val="none" w:sz="0" w:space="0" w:color="auto"/>
        <w:bottom w:val="none" w:sz="0" w:space="0" w:color="auto"/>
        <w:right w:val="none" w:sz="0" w:space="0" w:color="auto"/>
      </w:divBdr>
    </w:div>
    <w:div w:id="295650748">
      <w:bodyDiv w:val="1"/>
      <w:marLeft w:val="0"/>
      <w:marRight w:val="0"/>
      <w:marTop w:val="0"/>
      <w:marBottom w:val="0"/>
      <w:divBdr>
        <w:top w:val="none" w:sz="0" w:space="0" w:color="auto"/>
        <w:left w:val="none" w:sz="0" w:space="0" w:color="auto"/>
        <w:bottom w:val="none" w:sz="0" w:space="0" w:color="auto"/>
        <w:right w:val="none" w:sz="0" w:space="0" w:color="auto"/>
      </w:divBdr>
    </w:div>
    <w:div w:id="424810944">
      <w:bodyDiv w:val="1"/>
      <w:marLeft w:val="0"/>
      <w:marRight w:val="0"/>
      <w:marTop w:val="0"/>
      <w:marBottom w:val="0"/>
      <w:divBdr>
        <w:top w:val="none" w:sz="0" w:space="0" w:color="auto"/>
        <w:left w:val="none" w:sz="0" w:space="0" w:color="auto"/>
        <w:bottom w:val="none" w:sz="0" w:space="0" w:color="auto"/>
        <w:right w:val="none" w:sz="0" w:space="0" w:color="auto"/>
      </w:divBdr>
    </w:div>
    <w:div w:id="454832530">
      <w:bodyDiv w:val="1"/>
      <w:marLeft w:val="0"/>
      <w:marRight w:val="0"/>
      <w:marTop w:val="0"/>
      <w:marBottom w:val="0"/>
      <w:divBdr>
        <w:top w:val="none" w:sz="0" w:space="0" w:color="auto"/>
        <w:left w:val="none" w:sz="0" w:space="0" w:color="auto"/>
        <w:bottom w:val="none" w:sz="0" w:space="0" w:color="auto"/>
        <w:right w:val="none" w:sz="0" w:space="0" w:color="auto"/>
      </w:divBdr>
    </w:div>
    <w:div w:id="584270464">
      <w:bodyDiv w:val="1"/>
      <w:marLeft w:val="0"/>
      <w:marRight w:val="0"/>
      <w:marTop w:val="0"/>
      <w:marBottom w:val="0"/>
      <w:divBdr>
        <w:top w:val="none" w:sz="0" w:space="0" w:color="auto"/>
        <w:left w:val="none" w:sz="0" w:space="0" w:color="auto"/>
        <w:bottom w:val="none" w:sz="0" w:space="0" w:color="auto"/>
        <w:right w:val="none" w:sz="0" w:space="0" w:color="auto"/>
      </w:divBdr>
    </w:div>
    <w:div w:id="629408141">
      <w:bodyDiv w:val="1"/>
      <w:marLeft w:val="0"/>
      <w:marRight w:val="0"/>
      <w:marTop w:val="0"/>
      <w:marBottom w:val="0"/>
      <w:divBdr>
        <w:top w:val="none" w:sz="0" w:space="0" w:color="auto"/>
        <w:left w:val="none" w:sz="0" w:space="0" w:color="auto"/>
        <w:bottom w:val="none" w:sz="0" w:space="0" w:color="auto"/>
        <w:right w:val="none" w:sz="0" w:space="0" w:color="auto"/>
      </w:divBdr>
    </w:div>
    <w:div w:id="645666786">
      <w:bodyDiv w:val="1"/>
      <w:marLeft w:val="0"/>
      <w:marRight w:val="0"/>
      <w:marTop w:val="0"/>
      <w:marBottom w:val="0"/>
      <w:divBdr>
        <w:top w:val="none" w:sz="0" w:space="0" w:color="auto"/>
        <w:left w:val="none" w:sz="0" w:space="0" w:color="auto"/>
        <w:bottom w:val="none" w:sz="0" w:space="0" w:color="auto"/>
        <w:right w:val="none" w:sz="0" w:space="0" w:color="auto"/>
      </w:divBdr>
    </w:div>
    <w:div w:id="724454907">
      <w:bodyDiv w:val="1"/>
      <w:marLeft w:val="0"/>
      <w:marRight w:val="0"/>
      <w:marTop w:val="0"/>
      <w:marBottom w:val="0"/>
      <w:divBdr>
        <w:top w:val="none" w:sz="0" w:space="0" w:color="auto"/>
        <w:left w:val="none" w:sz="0" w:space="0" w:color="auto"/>
        <w:bottom w:val="none" w:sz="0" w:space="0" w:color="auto"/>
        <w:right w:val="none" w:sz="0" w:space="0" w:color="auto"/>
      </w:divBdr>
    </w:div>
    <w:div w:id="732000408">
      <w:bodyDiv w:val="1"/>
      <w:marLeft w:val="0"/>
      <w:marRight w:val="0"/>
      <w:marTop w:val="0"/>
      <w:marBottom w:val="0"/>
      <w:divBdr>
        <w:top w:val="none" w:sz="0" w:space="0" w:color="auto"/>
        <w:left w:val="none" w:sz="0" w:space="0" w:color="auto"/>
        <w:bottom w:val="none" w:sz="0" w:space="0" w:color="auto"/>
        <w:right w:val="none" w:sz="0" w:space="0" w:color="auto"/>
      </w:divBdr>
    </w:div>
    <w:div w:id="777797681">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846558729">
      <w:bodyDiv w:val="1"/>
      <w:marLeft w:val="0"/>
      <w:marRight w:val="0"/>
      <w:marTop w:val="0"/>
      <w:marBottom w:val="0"/>
      <w:divBdr>
        <w:top w:val="none" w:sz="0" w:space="0" w:color="auto"/>
        <w:left w:val="none" w:sz="0" w:space="0" w:color="auto"/>
        <w:bottom w:val="none" w:sz="0" w:space="0" w:color="auto"/>
        <w:right w:val="none" w:sz="0" w:space="0" w:color="auto"/>
      </w:divBdr>
    </w:div>
    <w:div w:id="899679384">
      <w:bodyDiv w:val="1"/>
      <w:marLeft w:val="0"/>
      <w:marRight w:val="0"/>
      <w:marTop w:val="0"/>
      <w:marBottom w:val="0"/>
      <w:divBdr>
        <w:top w:val="none" w:sz="0" w:space="0" w:color="auto"/>
        <w:left w:val="none" w:sz="0" w:space="0" w:color="auto"/>
        <w:bottom w:val="none" w:sz="0" w:space="0" w:color="auto"/>
        <w:right w:val="none" w:sz="0" w:space="0" w:color="auto"/>
      </w:divBdr>
    </w:div>
    <w:div w:id="902525840">
      <w:bodyDiv w:val="1"/>
      <w:marLeft w:val="0"/>
      <w:marRight w:val="0"/>
      <w:marTop w:val="0"/>
      <w:marBottom w:val="0"/>
      <w:divBdr>
        <w:top w:val="none" w:sz="0" w:space="0" w:color="auto"/>
        <w:left w:val="none" w:sz="0" w:space="0" w:color="auto"/>
        <w:bottom w:val="none" w:sz="0" w:space="0" w:color="auto"/>
        <w:right w:val="none" w:sz="0" w:space="0" w:color="auto"/>
      </w:divBdr>
    </w:div>
    <w:div w:id="938487637">
      <w:bodyDiv w:val="1"/>
      <w:marLeft w:val="0"/>
      <w:marRight w:val="0"/>
      <w:marTop w:val="0"/>
      <w:marBottom w:val="0"/>
      <w:divBdr>
        <w:top w:val="none" w:sz="0" w:space="0" w:color="auto"/>
        <w:left w:val="none" w:sz="0" w:space="0" w:color="auto"/>
        <w:bottom w:val="none" w:sz="0" w:space="0" w:color="auto"/>
        <w:right w:val="none" w:sz="0" w:space="0" w:color="auto"/>
      </w:divBdr>
    </w:div>
    <w:div w:id="967735685">
      <w:bodyDiv w:val="1"/>
      <w:marLeft w:val="0"/>
      <w:marRight w:val="0"/>
      <w:marTop w:val="0"/>
      <w:marBottom w:val="0"/>
      <w:divBdr>
        <w:top w:val="none" w:sz="0" w:space="0" w:color="auto"/>
        <w:left w:val="none" w:sz="0" w:space="0" w:color="auto"/>
        <w:bottom w:val="none" w:sz="0" w:space="0" w:color="auto"/>
        <w:right w:val="none" w:sz="0" w:space="0" w:color="auto"/>
      </w:divBdr>
    </w:div>
    <w:div w:id="1001784863">
      <w:bodyDiv w:val="1"/>
      <w:marLeft w:val="0"/>
      <w:marRight w:val="0"/>
      <w:marTop w:val="0"/>
      <w:marBottom w:val="0"/>
      <w:divBdr>
        <w:top w:val="none" w:sz="0" w:space="0" w:color="auto"/>
        <w:left w:val="none" w:sz="0" w:space="0" w:color="auto"/>
        <w:bottom w:val="none" w:sz="0" w:space="0" w:color="auto"/>
        <w:right w:val="none" w:sz="0" w:space="0" w:color="auto"/>
      </w:divBdr>
    </w:div>
    <w:div w:id="1009986278">
      <w:bodyDiv w:val="1"/>
      <w:marLeft w:val="0"/>
      <w:marRight w:val="0"/>
      <w:marTop w:val="0"/>
      <w:marBottom w:val="0"/>
      <w:divBdr>
        <w:top w:val="none" w:sz="0" w:space="0" w:color="auto"/>
        <w:left w:val="none" w:sz="0" w:space="0" w:color="auto"/>
        <w:bottom w:val="none" w:sz="0" w:space="0" w:color="auto"/>
        <w:right w:val="none" w:sz="0" w:space="0" w:color="auto"/>
      </w:divBdr>
    </w:div>
    <w:div w:id="1013457583">
      <w:bodyDiv w:val="1"/>
      <w:marLeft w:val="0"/>
      <w:marRight w:val="0"/>
      <w:marTop w:val="0"/>
      <w:marBottom w:val="0"/>
      <w:divBdr>
        <w:top w:val="none" w:sz="0" w:space="0" w:color="auto"/>
        <w:left w:val="none" w:sz="0" w:space="0" w:color="auto"/>
        <w:bottom w:val="none" w:sz="0" w:space="0" w:color="auto"/>
        <w:right w:val="none" w:sz="0" w:space="0" w:color="auto"/>
      </w:divBdr>
    </w:div>
    <w:div w:id="1021476175">
      <w:bodyDiv w:val="1"/>
      <w:marLeft w:val="0"/>
      <w:marRight w:val="0"/>
      <w:marTop w:val="0"/>
      <w:marBottom w:val="0"/>
      <w:divBdr>
        <w:top w:val="none" w:sz="0" w:space="0" w:color="auto"/>
        <w:left w:val="none" w:sz="0" w:space="0" w:color="auto"/>
        <w:bottom w:val="none" w:sz="0" w:space="0" w:color="auto"/>
        <w:right w:val="none" w:sz="0" w:space="0" w:color="auto"/>
      </w:divBdr>
    </w:div>
    <w:div w:id="1121604932">
      <w:bodyDiv w:val="1"/>
      <w:marLeft w:val="0"/>
      <w:marRight w:val="0"/>
      <w:marTop w:val="0"/>
      <w:marBottom w:val="0"/>
      <w:divBdr>
        <w:top w:val="none" w:sz="0" w:space="0" w:color="auto"/>
        <w:left w:val="none" w:sz="0" w:space="0" w:color="auto"/>
        <w:bottom w:val="none" w:sz="0" w:space="0" w:color="auto"/>
        <w:right w:val="none" w:sz="0" w:space="0" w:color="auto"/>
      </w:divBdr>
    </w:div>
    <w:div w:id="1180435854">
      <w:bodyDiv w:val="1"/>
      <w:marLeft w:val="0"/>
      <w:marRight w:val="0"/>
      <w:marTop w:val="0"/>
      <w:marBottom w:val="0"/>
      <w:divBdr>
        <w:top w:val="none" w:sz="0" w:space="0" w:color="auto"/>
        <w:left w:val="none" w:sz="0" w:space="0" w:color="auto"/>
        <w:bottom w:val="none" w:sz="0" w:space="0" w:color="auto"/>
        <w:right w:val="none" w:sz="0" w:space="0" w:color="auto"/>
      </w:divBdr>
    </w:div>
    <w:div w:id="1273976509">
      <w:bodyDiv w:val="1"/>
      <w:marLeft w:val="0"/>
      <w:marRight w:val="0"/>
      <w:marTop w:val="0"/>
      <w:marBottom w:val="0"/>
      <w:divBdr>
        <w:top w:val="none" w:sz="0" w:space="0" w:color="auto"/>
        <w:left w:val="none" w:sz="0" w:space="0" w:color="auto"/>
        <w:bottom w:val="none" w:sz="0" w:space="0" w:color="auto"/>
        <w:right w:val="none" w:sz="0" w:space="0" w:color="auto"/>
      </w:divBdr>
    </w:div>
    <w:div w:id="1352293225">
      <w:bodyDiv w:val="1"/>
      <w:marLeft w:val="0"/>
      <w:marRight w:val="0"/>
      <w:marTop w:val="0"/>
      <w:marBottom w:val="0"/>
      <w:divBdr>
        <w:top w:val="none" w:sz="0" w:space="0" w:color="auto"/>
        <w:left w:val="none" w:sz="0" w:space="0" w:color="auto"/>
        <w:bottom w:val="none" w:sz="0" w:space="0" w:color="auto"/>
        <w:right w:val="none" w:sz="0" w:space="0" w:color="auto"/>
      </w:divBdr>
    </w:div>
    <w:div w:id="1354921171">
      <w:bodyDiv w:val="1"/>
      <w:marLeft w:val="0"/>
      <w:marRight w:val="0"/>
      <w:marTop w:val="0"/>
      <w:marBottom w:val="0"/>
      <w:divBdr>
        <w:top w:val="none" w:sz="0" w:space="0" w:color="auto"/>
        <w:left w:val="none" w:sz="0" w:space="0" w:color="auto"/>
        <w:bottom w:val="none" w:sz="0" w:space="0" w:color="auto"/>
        <w:right w:val="none" w:sz="0" w:space="0" w:color="auto"/>
      </w:divBdr>
    </w:div>
    <w:div w:id="1395734347">
      <w:bodyDiv w:val="1"/>
      <w:marLeft w:val="0"/>
      <w:marRight w:val="0"/>
      <w:marTop w:val="0"/>
      <w:marBottom w:val="0"/>
      <w:divBdr>
        <w:top w:val="none" w:sz="0" w:space="0" w:color="auto"/>
        <w:left w:val="none" w:sz="0" w:space="0" w:color="auto"/>
        <w:bottom w:val="none" w:sz="0" w:space="0" w:color="auto"/>
        <w:right w:val="none" w:sz="0" w:space="0" w:color="auto"/>
      </w:divBdr>
    </w:div>
    <w:div w:id="1430354037">
      <w:bodyDiv w:val="1"/>
      <w:marLeft w:val="0"/>
      <w:marRight w:val="0"/>
      <w:marTop w:val="0"/>
      <w:marBottom w:val="0"/>
      <w:divBdr>
        <w:top w:val="none" w:sz="0" w:space="0" w:color="auto"/>
        <w:left w:val="none" w:sz="0" w:space="0" w:color="auto"/>
        <w:bottom w:val="none" w:sz="0" w:space="0" w:color="auto"/>
        <w:right w:val="none" w:sz="0" w:space="0" w:color="auto"/>
      </w:divBdr>
    </w:div>
    <w:div w:id="1435054629">
      <w:bodyDiv w:val="1"/>
      <w:marLeft w:val="0"/>
      <w:marRight w:val="0"/>
      <w:marTop w:val="0"/>
      <w:marBottom w:val="0"/>
      <w:divBdr>
        <w:top w:val="none" w:sz="0" w:space="0" w:color="auto"/>
        <w:left w:val="none" w:sz="0" w:space="0" w:color="auto"/>
        <w:bottom w:val="none" w:sz="0" w:space="0" w:color="auto"/>
        <w:right w:val="none" w:sz="0" w:space="0" w:color="auto"/>
      </w:divBdr>
    </w:div>
    <w:div w:id="1478493238">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820919256">
      <w:bodyDiv w:val="1"/>
      <w:marLeft w:val="0"/>
      <w:marRight w:val="0"/>
      <w:marTop w:val="0"/>
      <w:marBottom w:val="0"/>
      <w:divBdr>
        <w:top w:val="none" w:sz="0" w:space="0" w:color="auto"/>
        <w:left w:val="none" w:sz="0" w:space="0" w:color="auto"/>
        <w:bottom w:val="none" w:sz="0" w:space="0" w:color="auto"/>
        <w:right w:val="none" w:sz="0" w:space="0" w:color="auto"/>
      </w:divBdr>
    </w:div>
    <w:div w:id="1850830111">
      <w:bodyDiv w:val="1"/>
      <w:marLeft w:val="0"/>
      <w:marRight w:val="0"/>
      <w:marTop w:val="0"/>
      <w:marBottom w:val="0"/>
      <w:divBdr>
        <w:top w:val="none" w:sz="0" w:space="0" w:color="auto"/>
        <w:left w:val="none" w:sz="0" w:space="0" w:color="auto"/>
        <w:bottom w:val="none" w:sz="0" w:space="0" w:color="auto"/>
        <w:right w:val="none" w:sz="0" w:space="0" w:color="auto"/>
      </w:divBdr>
    </w:div>
    <w:div w:id="1956518027">
      <w:bodyDiv w:val="1"/>
      <w:marLeft w:val="0"/>
      <w:marRight w:val="0"/>
      <w:marTop w:val="0"/>
      <w:marBottom w:val="0"/>
      <w:divBdr>
        <w:top w:val="none" w:sz="0" w:space="0" w:color="auto"/>
        <w:left w:val="none" w:sz="0" w:space="0" w:color="auto"/>
        <w:bottom w:val="none" w:sz="0" w:space="0" w:color="auto"/>
        <w:right w:val="none" w:sz="0" w:space="0" w:color="auto"/>
      </w:divBdr>
    </w:div>
    <w:div w:id="2017417439">
      <w:bodyDiv w:val="1"/>
      <w:marLeft w:val="0"/>
      <w:marRight w:val="0"/>
      <w:marTop w:val="0"/>
      <w:marBottom w:val="0"/>
      <w:divBdr>
        <w:top w:val="none" w:sz="0" w:space="0" w:color="auto"/>
        <w:left w:val="none" w:sz="0" w:space="0" w:color="auto"/>
        <w:bottom w:val="none" w:sz="0" w:space="0" w:color="auto"/>
        <w:right w:val="none" w:sz="0" w:space="0" w:color="auto"/>
      </w:divBdr>
    </w:div>
    <w:div w:id="2048987121">
      <w:bodyDiv w:val="1"/>
      <w:marLeft w:val="0"/>
      <w:marRight w:val="0"/>
      <w:marTop w:val="0"/>
      <w:marBottom w:val="0"/>
      <w:divBdr>
        <w:top w:val="none" w:sz="0" w:space="0" w:color="auto"/>
        <w:left w:val="none" w:sz="0" w:space="0" w:color="auto"/>
        <w:bottom w:val="none" w:sz="0" w:space="0" w:color="auto"/>
        <w:right w:val="none" w:sz="0" w:space="0" w:color="auto"/>
      </w:divBdr>
    </w:div>
    <w:div w:id="21319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cid:image005.png@01D9C52E.DF7E8AC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etten.overheid.nl/BWBR0040936/2018-07-01" TargetMode="External"/><Relationship Id="rId10" Type="http://schemas.microsoft.com/office/2016/09/relationships/commentsIds" Target="commentsIds.xml"/><Relationship Id="rId19" Type="http://schemas.openxmlformats.org/officeDocument/2006/relationships/customXml" Target="../customXml/item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digitaleoverheid.nl/overzicht-van-alle-onderwerpen/cybersecurity/kaders-voor-cybersecurity/baseline-informatiebeveiliging-overhei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995EC-A4CE-4473-82FA-2168585B3BF2}">
  <ds:schemaRefs>
    <ds:schemaRef ds:uri="http://schemas.openxmlformats.org/officeDocument/2006/bibliography"/>
  </ds:schemaRefs>
</ds:datastoreItem>
</file>

<file path=customXml/itemProps2.xml><?xml version="1.0" encoding="utf-8"?>
<ds:datastoreItem xmlns:ds="http://schemas.openxmlformats.org/officeDocument/2006/customXml" ds:itemID="{0D2A19F6-E318-4966-8A77-A94AC1BBC338}"/>
</file>

<file path=customXml/itemProps3.xml><?xml version="1.0" encoding="utf-8"?>
<ds:datastoreItem xmlns:ds="http://schemas.openxmlformats.org/officeDocument/2006/customXml" ds:itemID="{832C0BBF-26FB-4FF2-AE8D-EF841A0841C2}"/>
</file>

<file path=docProps/app.xml><?xml version="1.0" encoding="utf-8"?>
<Properties xmlns="http://schemas.openxmlformats.org/officeDocument/2006/extended-properties" xmlns:vt="http://schemas.openxmlformats.org/officeDocument/2006/docPropsVTypes">
  <Template>Normal.dotm</Template>
  <TotalTime>573</TotalTime>
  <Pages>6</Pages>
  <Words>1959</Words>
  <Characters>11169</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Post, Vincent</cp:lastModifiedBy>
  <cp:revision>30</cp:revision>
  <dcterms:created xsi:type="dcterms:W3CDTF">2023-05-01T15:38:00Z</dcterms:created>
  <dcterms:modified xsi:type="dcterms:W3CDTF">2023-08-29T13:35:00Z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35297643</vt:lpwstr>
  </property>
</Properties>
</file>